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C5" w:rsidRPr="004A2391" w:rsidRDefault="00F122C5">
      <w:pPr>
        <w:rPr>
          <w:b/>
        </w:rPr>
      </w:pPr>
      <w:bookmarkStart w:id="0" w:name="_GoBack"/>
      <w:bookmarkEnd w:id="0"/>
    </w:p>
    <w:p w:rsidR="001E4C2E" w:rsidRDefault="00E420A4" w:rsidP="0097603E">
      <w:pPr>
        <w:spacing w:after="12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90550"/>
            <wp:effectExtent l="0" t="0" r="9525" b="0"/>
            <wp:docPr id="1" name="Obraz 1" descr="cid:image002.jpg@01D3FD9C.60C1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FD9C.60C190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2E" w:rsidRDefault="001E4C2E" w:rsidP="0053786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</w:t>
      </w:r>
      <w:r w:rsidR="00537869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p w:rsidR="00EF1BF9" w:rsidRPr="00537869" w:rsidRDefault="00537869" w:rsidP="00537869">
      <w:pPr>
        <w:rPr>
          <w:rFonts w:ascii="Calibri" w:eastAsia="Calibri" w:hAnsi="Calibri" w:cs="Times New Roman"/>
          <w:b/>
          <w:sz w:val="40"/>
          <w:szCs w:val="40"/>
          <w:lang w:eastAsia="en-US"/>
        </w:rPr>
      </w:pPr>
      <w:r w:rsidRPr="00537869">
        <w:rPr>
          <w:rFonts w:ascii="Calibri" w:eastAsia="Calibri" w:hAnsi="Calibri" w:cs="Times New Roman"/>
          <w:b/>
          <w:sz w:val="40"/>
          <w:szCs w:val="40"/>
          <w:lang w:eastAsia="en-US"/>
        </w:rPr>
        <w:t>ZAŁĄCZNIK NR 8</w:t>
      </w:r>
    </w:p>
    <w:p w:rsidR="00537869" w:rsidRPr="00537869" w:rsidRDefault="00EF1BF9" w:rsidP="00537869">
      <w:pPr>
        <w:rPr>
          <w:rFonts w:eastAsiaTheme="minorHAnsi"/>
          <w:b/>
          <w:sz w:val="40"/>
          <w:szCs w:val="40"/>
          <w:lang w:eastAsia="en-US"/>
        </w:rPr>
      </w:pPr>
      <w:r w:rsidRPr="00537869">
        <w:rPr>
          <w:rFonts w:eastAsiaTheme="minorHAnsi"/>
          <w:b/>
          <w:sz w:val="40"/>
          <w:szCs w:val="40"/>
          <w:lang w:eastAsia="en-US"/>
        </w:rPr>
        <w:t xml:space="preserve">LISTA WSKAŹNIKÓW NA POZIOMIE PROJEKTU </w:t>
      </w:r>
    </w:p>
    <w:p w:rsidR="00537869" w:rsidRPr="00537869" w:rsidRDefault="00EF1BF9" w:rsidP="00537869">
      <w:pPr>
        <w:rPr>
          <w:rFonts w:eastAsiaTheme="minorHAnsi"/>
          <w:b/>
          <w:i/>
          <w:sz w:val="40"/>
          <w:szCs w:val="40"/>
          <w:lang w:eastAsia="en-US"/>
        </w:rPr>
      </w:pPr>
      <w:r w:rsidRPr="00537869">
        <w:rPr>
          <w:rFonts w:eastAsiaTheme="minorHAnsi"/>
          <w:b/>
          <w:sz w:val="40"/>
          <w:szCs w:val="40"/>
          <w:lang w:eastAsia="en-US"/>
        </w:rPr>
        <w:t>DLA DZIAŁANIA</w:t>
      </w:r>
      <w:r w:rsidRPr="00537869">
        <w:rPr>
          <w:rFonts w:eastAsiaTheme="minorHAnsi"/>
          <w:b/>
          <w:i/>
          <w:sz w:val="40"/>
          <w:szCs w:val="40"/>
          <w:lang w:eastAsia="en-US"/>
        </w:rPr>
        <w:t xml:space="preserve"> </w:t>
      </w:r>
      <w:r w:rsidRPr="00537869">
        <w:rPr>
          <w:rFonts w:eastAsiaTheme="minorHAnsi"/>
          <w:b/>
          <w:i/>
          <w:sz w:val="40"/>
          <w:szCs w:val="40"/>
          <w:lang w:eastAsia="en-US"/>
        </w:rPr>
        <w:br/>
      </w:r>
      <w:r w:rsidRPr="00537869">
        <w:rPr>
          <w:rFonts w:eastAsiaTheme="minorHAnsi"/>
          <w:b/>
          <w:sz w:val="40"/>
          <w:szCs w:val="40"/>
          <w:lang w:eastAsia="en-US"/>
        </w:rPr>
        <w:t>3.4</w:t>
      </w:r>
      <w:r w:rsidRPr="00537869">
        <w:rPr>
          <w:rFonts w:eastAsiaTheme="minorHAnsi"/>
          <w:b/>
          <w:i/>
          <w:sz w:val="40"/>
          <w:szCs w:val="40"/>
          <w:lang w:eastAsia="en-US"/>
        </w:rPr>
        <w:t xml:space="preserve">  EFEKTYWNOŚĆ ENERGETYCZNA W MSP </w:t>
      </w:r>
    </w:p>
    <w:p w:rsidR="00537869" w:rsidRPr="00537869" w:rsidRDefault="00537869" w:rsidP="00537869">
      <w:pPr>
        <w:rPr>
          <w:rFonts w:eastAsiaTheme="minorHAnsi"/>
          <w:b/>
          <w:i/>
          <w:sz w:val="44"/>
          <w:szCs w:val="44"/>
          <w:lang w:eastAsia="en-US"/>
        </w:rPr>
      </w:pPr>
      <w:r w:rsidRPr="00537869">
        <w:rPr>
          <w:rFonts w:eastAsiaTheme="minorHAnsi"/>
          <w:b/>
          <w:i/>
          <w:sz w:val="40"/>
          <w:szCs w:val="40"/>
          <w:lang w:eastAsia="en-US"/>
        </w:rPr>
        <w:t>RPO WO 2014-2020</w:t>
      </w:r>
    </w:p>
    <w:p w:rsidR="00EF1BF9" w:rsidRPr="00EF1BF9" w:rsidRDefault="00EF1BF9" w:rsidP="00537869">
      <w:pPr>
        <w:rPr>
          <w:rFonts w:eastAsiaTheme="minorHAnsi"/>
          <w:b/>
          <w:i/>
          <w:sz w:val="44"/>
          <w:szCs w:val="44"/>
          <w:lang w:eastAsia="en-US"/>
        </w:rPr>
      </w:pPr>
    </w:p>
    <w:p w:rsidR="00EF1BF9" w:rsidRPr="00537869" w:rsidRDefault="00EF1BF9" w:rsidP="0097603E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37869">
        <w:rPr>
          <w:rFonts w:ascii="Calibri" w:eastAsia="Calibri" w:hAnsi="Calibri" w:cs="Times New Roman"/>
          <w:b/>
          <w:sz w:val="24"/>
          <w:szCs w:val="24"/>
          <w:lang w:eastAsia="en-US"/>
        </w:rPr>
        <w:t>Wersja nr 1</w:t>
      </w:r>
    </w:p>
    <w:p w:rsidR="00EF1BF9" w:rsidRPr="00537869" w:rsidRDefault="00537869" w:rsidP="0097603E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maj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2019</w:t>
      </w:r>
      <w:r w:rsidR="00EF1BF9" w:rsidRPr="00537869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r.</w:t>
      </w:r>
    </w:p>
    <w:p w:rsidR="00EF1BF9" w:rsidRDefault="00EF1BF9" w:rsidP="00CE7C94">
      <w:pPr>
        <w:spacing w:after="60"/>
        <w:rPr>
          <w:b/>
        </w:rPr>
      </w:pPr>
    </w:p>
    <w:p w:rsidR="00512467" w:rsidRPr="004A2391" w:rsidRDefault="006D162A" w:rsidP="00CE7C94">
      <w:pPr>
        <w:spacing w:after="60"/>
        <w:rPr>
          <w:i/>
        </w:rPr>
      </w:pPr>
      <w:r w:rsidRPr="004A2391">
        <w:rPr>
          <w:b/>
        </w:rPr>
        <w:t>Tabela 1</w:t>
      </w:r>
      <w:r w:rsidR="00CE7C94" w:rsidRPr="004A2391">
        <w:rPr>
          <w:b/>
        </w:rPr>
        <w:t xml:space="preserve"> </w:t>
      </w:r>
      <w:r w:rsidR="00055EE7" w:rsidRPr="004A2391">
        <w:rPr>
          <w:i/>
        </w:rPr>
        <w:t>Zestawieni</w:t>
      </w:r>
      <w:r w:rsidR="00F5104E" w:rsidRPr="004A2391">
        <w:rPr>
          <w:i/>
        </w:rPr>
        <w:t>e</w:t>
      </w:r>
      <w:r w:rsidR="00055EE7" w:rsidRPr="004A2391">
        <w:rPr>
          <w:i/>
        </w:rPr>
        <w:t xml:space="preserve"> wskaźników </w:t>
      </w:r>
      <w:r w:rsidR="007435C8" w:rsidRPr="004A2391">
        <w:rPr>
          <w:i/>
        </w:rPr>
        <w:t xml:space="preserve">EFRR </w:t>
      </w:r>
      <w:r w:rsidR="00055EE7" w:rsidRPr="004A2391">
        <w:rPr>
          <w:i/>
        </w:rPr>
        <w:t xml:space="preserve">na poziomie projektu </w:t>
      </w:r>
      <w:r w:rsidR="00881689" w:rsidRPr="004A2391">
        <w:rPr>
          <w:i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142"/>
        <w:gridCol w:w="1134"/>
        <w:gridCol w:w="1275"/>
        <w:gridCol w:w="1276"/>
        <w:gridCol w:w="1418"/>
        <w:gridCol w:w="5670"/>
      </w:tblGrid>
      <w:tr w:rsidR="00A36F99" w:rsidRPr="0097603E" w:rsidTr="00743327">
        <w:trPr>
          <w:trHeight w:hRule="exact" w:val="839"/>
          <w:tblHeader/>
        </w:trPr>
        <w:tc>
          <w:tcPr>
            <w:tcW w:w="671" w:type="dxa"/>
            <w:tcBorders>
              <w:top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97603E" w:rsidRDefault="00A36F99" w:rsidP="007435C8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142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97603E" w:rsidRDefault="00A36F99" w:rsidP="00881689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97603E" w:rsidRDefault="00A36F99" w:rsidP="00881689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5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97603E" w:rsidRDefault="00A36F99" w:rsidP="00881689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97603E" w:rsidRDefault="00A36F99" w:rsidP="00CA0118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418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97603E" w:rsidRDefault="00A36F99" w:rsidP="00CA0118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670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36F99" w:rsidRPr="0097603E" w:rsidRDefault="00A36F99" w:rsidP="00881689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A36F99" w:rsidRPr="0097603E" w:rsidTr="00753583">
        <w:trPr>
          <w:trHeight w:val="36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36F99" w:rsidRPr="0097603E" w:rsidRDefault="00A36F99" w:rsidP="00881689">
            <w:pPr>
              <w:spacing w:before="80" w:after="80"/>
              <w:jc w:val="center"/>
              <w:rPr>
                <w:b/>
                <w:color w:val="000099"/>
                <w:sz w:val="24"/>
                <w:szCs w:val="24"/>
              </w:rPr>
            </w:pPr>
            <w:r w:rsidRPr="0097603E">
              <w:rPr>
                <w:b/>
                <w:color w:val="000099"/>
                <w:sz w:val="24"/>
                <w:szCs w:val="24"/>
              </w:rPr>
              <w:t>Wskaźniki horyzontalne</w:t>
            </w:r>
          </w:p>
        </w:tc>
      </w:tr>
      <w:tr w:rsidR="0097603E" w:rsidRPr="0097603E" w:rsidTr="00743327">
        <w:trPr>
          <w:trHeight w:val="3627"/>
        </w:trPr>
        <w:tc>
          <w:tcPr>
            <w:tcW w:w="671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4D600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4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:rsidR="0097603E" w:rsidRPr="00A635F2" w:rsidRDefault="0097603E" w:rsidP="009760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Jako obiekty budowlane należy rozumieć konstrukcje połączone z gruntem w sposób trwały, wykonane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materiałów budowlanych i elementów składowych, będące wynikiem prac budowlanych (wg. def. PKOB).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dostosowaniem obiektów do potrzeb osób z niepełnosprawnościami w ramach danego projektu.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i dedykowanych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97603E" w:rsidRPr="0097603E" w:rsidTr="00A71CF0">
        <w:trPr>
          <w:trHeight w:val="1742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A635F2" w:rsidRDefault="0097603E" w:rsidP="004D600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mediów elektronicznych tj. m.in.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komputera, różnych rodzajów oprogramowania, internetu oraz kompetencji ściśle informatycznych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(np. programowanie, zarządzanie bazami danych, administracja sieciami, administracja witrynami internetowymi).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97603E" w:rsidRPr="0097603E" w:rsidTr="00743327">
        <w:trPr>
          <w:trHeight w:val="1969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97603E" w:rsidRPr="0097603E" w:rsidTr="00A71CF0">
        <w:trPr>
          <w:trHeight w:val="1045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97603E" w:rsidRPr="0097603E" w:rsidTr="00743327">
        <w:trPr>
          <w:trHeight w:val="466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A635F2" w:rsidRDefault="0097603E" w:rsidP="004D600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Racjonalne usprawnienie oznacza konieczne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niepełnosprawnościami możliwości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Przykłady racjonalnych usprawnień: tłumacz języka migowego, transport niskopodłogowy, dostosowanie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infrastruktury (nie tylko budynku, ale też dostosowanie infrastruktury komputerowej np. programy powiększające, mówiące, drukarki materiałów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alfabecie Braille'a), osoby asystujące, odpowiednie dostosowanie wyżywienia.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przeciwnym wypadku „0”. W przypadku projektów partnerskich wskaźnik powinien być wykazany wyłącznie przez lidera projektu, bez względu na liczbę partnerów  w projekcie realizujących wskaźnik.</w:t>
            </w:r>
          </w:p>
        </w:tc>
      </w:tr>
      <w:tr w:rsidR="0097603E" w:rsidRPr="0097603E" w:rsidTr="00743327">
        <w:trPr>
          <w:trHeight w:val="1316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A635F2" w:rsidRDefault="0097603E" w:rsidP="004D600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wszelkich narzędzi komunikacji elektronicznej oraz wszelkie działania związane z produkcją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wykorzystaniem urządzeń telekomunikacyjnych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tym jednostki samorządu terytorialnego, NGO, jednostki naukowe, szkoły, które będą wykorzystywać TIK do usprawnienia swojego działania i do prowadzenia relacji z innymi podmiotami. 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97603E" w:rsidRPr="0097603E" w:rsidTr="00743327">
        <w:trPr>
          <w:trHeight w:val="1316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A635F2" w:rsidRDefault="0097603E" w:rsidP="004D600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>przedsiębiorstwie. Jeśli łączne zatrudnienie w przedsiębiorstwie nie zwiększa się, wartość jest równa zero - to wskaźnik jest traktowany jako wyregulowanie, a nie zwiększenie. Zagwarantowane itp. miejsca pracy nie są wliczone.</w:t>
            </w:r>
          </w:p>
          <w:p w:rsidR="0097603E" w:rsidRPr="00A635F2" w:rsidRDefault="0097603E" w:rsidP="0097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:rsidR="0097603E" w:rsidRPr="00A635F2" w:rsidRDefault="0097603E" w:rsidP="0097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97603E" w:rsidRPr="00A635F2" w:rsidRDefault="0097603E" w:rsidP="0097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:rsidR="0097603E" w:rsidRPr="00A635F2" w:rsidRDefault="0097603E" w:rsidP="0097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i po jego zakończeniu; Instytucje Zarządzające mają swobodę w określaniu dokładnego czasu. Preferowane jest stosowanie średniego zatrudnienia w oparciu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o dane z 6 miesięcy lub z roku, dla danych </w:t>
            </w:r>
            <w:r w:rsidRPr="00A635F2">
              <w:rPr>
                <w:rFonts w:cs="Times New Roman"/>
                <w:sz w:val="24"/>
                <w:szCs w:val="24"/>
              </w:rPr>
              <w:lastRenderedPageBreak/>
              <w:t>dotyczących zatrudnienia w określonych terminach.</w:t>
            </w:r>
          </w:p>
          <w:p w:rsidR="0097603E" w:rsidRPr="00A635F2" w:rsidRDefault="0097603E" w:rsidP="0097603E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:rsidR="0097603E" w:rsidRPr="00A635F2" w:rsidRDefault="0097603E" w:rsidP="0097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A635F2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A635F2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97603E" w:rsidRPr="0097603E" w:rsidTr="00743327">
        <w:trPr>
          <w:trHeight w:val="1316"/>
        </w:trPr>
        <w:tc>
          <w:tcPr>
            <w:tcW w:w="671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314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97603E" w:rsidRPr="0097603E" w:rsidTr="00743327">
        <w:trPr>
          <w:trHeight w:val="1316"/>
        </w:trPr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97603E" w:rsidRPr="0097603E" w:rsidTr="00743327">
        <w:trPr>
          <w:trHeight w:val="823"/>
        </w:trPr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4D6002">
            <w:pPr>
              <w:spacing w:before="80" w:after="80"/>
              <w:jc w:val="center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97603E" w:rsidRPr="0097603E" w:rsidTr="00743327">
        <w:trPr>
          <w:trHeight w:val="823"/>
        </w:trPr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  <w:tr w:rsidR="0097603E" w:rsidRPr="0097603E" w:rsidTr="00743327">
        <w:trPr>
          <w:trHeight w:val="823"/>
        </w:trPr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  <w:tr w:rsidR="0097603E" w:rsidRPr="0097603E" w:rsidTr="00743327">
        <w:trPr>
          <w:trHeight w:val="456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A635F2" w:rsidRDefault="0097603E" w:rsidP="004D600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i niepełnowymiarowe należy przeliczyć na ekwiwalent pełnego czasu pracy. </w:t>
            </w:r>
          </w:p>
          <w:p w:rsidR="0097603E" w:rsidRPr="00A635F2" w:rsidRDefault="0097603E" w:rsidP="0097603E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97603E" w:rsidRPr="00A635F2" w:rsidRDefault="0097603E" w:rsidP="0097603E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</w:t>
            </w:r>
            <w:r w:rsidRPr="00A635F2">
              <w:rPr>
                <w:rFonts w:asciiTheme="minorHAnsi" w:hAnsiTheme="minorHAnsi"/>
              </w:rPr>
              <w:lastRenderedPageBreak/>
              <w:t xml:space="preserve">samozatrudnienia – do wyliczenia EPC podajemy: pełny, faktyczny czas pracy w roku sprawozdawczym „ze wszystkich umów”, podany, jako odpowiedni ułamek rocznego czasu pracy. </w:t>
            </w:r>
          </w:p>
          <w:p w:rsidR="0097603E" w:rsidRPr="00A635F2" w:rsidRDefault="0097603E" w:rsidP="0097603E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97603E" w:rsidRPr="00A635F2" w:rsidRDefault="0097603E" w:rsidP="0097603E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97603E" w:rsidRPr="0097603E" w:rsidTr="00743327">
        <w:trPr>
          <w:trHeight w:val="456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  <w:tr w:rsidR="0097603E" w:rsidRPr="0097603E" w:rsidTr="00743327">
        <w:trPr>
          <w:trHeight w:val="456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97603E" w:rsidRPr="0097603E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7603E" w:rsidRPr="0097603E" w:rsidRDefault="0097603E" w:rsidP="0097603E">
            <w:pPr>
              <w:spacing w:before="80" w:after="80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  <w:tr w:rsidR="0097603E" w:rsidRPr="0097603E" w:rsidTr="00743327">
        <w:trPr>
          <w:trHeight w:val="456"/>
        </w:trPr>
        <w:tc>
          <w:tcPr>
            <w:tcW w:w="671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7603E" w:rsidRPr="00A635F2" w:rsidRDefault="0097603E" w:rsidP="0097603E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:rsidR="0097603E" w:rsidRPr="00A635F2" w:rsidRDefault="0097603E" w:rsidP="0097603E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97603E" w:rsidRPr="00A635F2" w:rsidRDefault="0097603E" w:rsidP="0097603E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97603E" w:rsidRPr="00A635F2" w:rsidRDefault="0097603E" w:rsidP="0097603E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4D6002" w:rsidRPr="0097603E" w:rsidTr="00743327">
        <w:trPr>
          <w:trHeight w:val="456"/>
        </w:trPr>
        <w:tc>
          <w:tcPr>
            <w:tcW w:w="671" w:type="dxa"/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4D6002" w:rsidRPr="00A635F2" w:rsidRDefault="004D6002" w:rsidP="004D600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4D6002" w:rsidRPr="0097603E" w:rsidRDefault="004D6002" w:rsidP="004D6002">
            <w:pPr>
              <w:spacing w:before="80" w:after="80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  <w:tr w:rsidR="004D6002" w:rsidRPr="0097603E" w:rsidTr="00743327">
        <w:trPr>
          <w:trHeight w:val="562"/>
        </w:trPr>
        <w:tc>
          <w:tcPr>
            <w:tcW w:w="671" w:type="dxa"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3142" w:type="dxa"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4D6002" w:rsidRPr="00A635F2" w:rsidRDefault="004D6002" w:rsidP="004D600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134" w:type="dxa"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4D6002" w:rsidRPr="00A635F2" w:rsidRDefault="004D6002" w:rsidP="004D600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4D6002" w:rsidRPr="0097603E" w:rsidRDefault="004D6002" w:rsidP="004D6002">
            <w:pPr>
              <w:spacing w:before="80" w:after="80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  <w:tr w:rsidR="0097603E" w:rsidRPr="0097603E" w:rsidTr="00753583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97603E" w:rsidRPr="0097603E" w:rsidRDefault="0097603E" w:rsidP="0097603E">
            <w:pPr>
              <w:spacing w:before="80" w:after="80"/>
              <w:rPr>
                <w:i/>
                <w:color w:val="000099"/>
                <w:sz w:val="24"/>
                <w:szCs w:val="24"/>
                <w:highlight w:val="yellow"/>
              </w:rPr>
            </w:pPr>
            <w:r w:rsidRPr="0097603E">
              <w:rPr>
                <w:i/>
                <w:color w:val="000099"/>
                <w:sz w:val="24"/>
                <w:szCs w:val="24"/>
              </w:rPr>
              <w:t xml:space="preserve">Działanie 3.4  </w:t>
            </w:r>
            <w:r w:rsidRPr="0097603E">
              <w:rPr>
                <w:rFonts w:cs="Arial"/>
                <w:b/>
                <w:i/>
                <w:color w:val="000099"/>
                <w:sz w:val="24"/>
                <w:szCs w:val="24"/>
              </w:rPr>
              <w:t>Efektywność energetyczna w MSP</w:t>
            </w:r>
          </w:p>
        </w:tc>
      </w:tr>
      <w:tr w:rsidR="0097603E" w:rsidRPr="0097603E" w:rsidTr="00753583">
        <w:trPr>
          <w:trHeight w:hRule="exact" w:val="53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auto"/>
            <w:vAlign w:val="center"/>
          </w:tcPr>
          <w:p w:rsidR="0097603E" w:rsidRPr="0097603E" w:rsidRDefault="0097603E" w:rsidP="0097603E">
            <w:pPr>
              <w:spacing w:before="80" w:after="80"/>
              <w:jc w:val="center"/>
              <w:rPr>
                <w:i/>
                <w:color w:val="000099"/>
                <w:sz w:val="24"/>
                <w:szCs w:val="24"/>
                <w:highlight w:val="yellow"/>
              </w:rPr>
            </w:pPr>
            <w:r w:rsidRPr="0097603E">
              <w:rPr>
                <w:i/>
                <w:color w:val="C00000"/>
                <w:sz w:val="24"/>
                <w:szCs w:val="24"/>
              </w:rPr>
              <w:t>Wskaźniki dla dotacji</w:t>
            </w:r>
          </w:p>
        </w:tc>
      </w:tr>
      <w:tr w:rsidR="00F228E0" w:rsidRPr="0097603E" w:rsidTr="00AB5598">
        <w:trPr>
          <w:trHeight w:val="984"/>
        </w:trPr>
        <w:tc>
          <w:tcPr>
            <w:tcW w:w="671" w:type="dxa"/>
            <w:tcBorders>
              <w:top w:val="single" w:sz="12" w:space="0" w:color="33CC33"/>
            </w:tcBorders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1.</w:t>
            </w:r>
          </w:p>
        </w:tc>
        <w:tc>
          <w:tcPr>
            <w:tcW w:w="3142" w:type="dxa"/>
            <w:tcBorders>
              <w:top w:val="single" w:sz="12" w:space="0" w:color="33CC33"/>
            </w:tcBorders>
            <w:vAlign w:val="center"/>
          </w:tcPr>
          <w:p w:rsidR="00F228E0" w:rsidRPr="0097603E" w:rsidRDefault="00F228E0" w:rsidP="00F228E0">
            <w:pPr>
              <w:spacing w:before="60" w:after="60"/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 xml:space="preserve">Liczba przedsiębiorstw, które </w:t>
            </w:r>
            <w:r w:rsidRPr="0097603E">
              <w:rPr>
                <w:rFonts w:eastAsia="Times New Roman" w:cs="Arial"/>
                <w:i/>
                <w:sz w:val="24"/>
                <w:szCs w:val="24"/>
              </w:rPr>
              <w:br/>
              <w:t>w wyniku wsparcia poprawiły efektywność energetyczną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auto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auto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12" w:space="0" w:color="33CC33"/>
            </w:tcBorders>
            <w:shd w:val="clear" w:color="auto" w:fill="auto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Wskaźnik mierzy liczbę przedsiębiorstw, które przeprowadziły modernizację energetyczną </w:t>
            </w:r>
            <w:r w:rsidRPr="00F228E0">
              <w:rPr>
                <w:sz w:val="24"/>
                <w:szCs w:val="24"/>
              </w:rPr>
              <w:lastRenderedPageBreak/>
              <w:t>budynków lub linii produkcyjnych w celu zmniejszenia zużycia energii.</w:t>
            </w:r>
          </w:p>
        </w:tc>
      </w:tr>
      <w:tr w:rsidR="00F228E0" w:rsidRPr="0097603E" w:rsidTr="00AB5598">
        <w:trPr>
          <w:trHeight w:val="4152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spacing w:before="60" w:after="60"/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Liczba zmodernizowanych energetycznie budynków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TimesNewRoman"/>
                <w:sz w:val="24"/>
                <w:szCs w:val="24"/>
              </w:rPr>
            </w:pPr>
            <w:r w:rsidRPr="00F228E0">
              <w:rPr>
                <w:rFonts w:cs="TimesNewRoman"/>
                <w:sz w:val="24"/>
                <w:szCs w:val="24"/>
              </w:rPr>
              <w:t>Wskaźnik mierzy liczbę zmodernizowanych energetycznie budynków w wyniku realizacji projektu.</w:t>
            </w:r>
          </w:p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TimesNewRoman"/>
                <w:sz w:val="24"/>
                <w:szCs w:val="24"/>
              </w:rPr>
            </w:pPr>
            <w:r w:rsidRPr="00F228E0">
              <w:rPr>
                <w:rFonts w:cs="TimesNewRoman"/>
                <w:sz w:val="24"/>
                <w:szCs w:val="24"/>
              </w:rPr>
              <w:t>Modernizacja – obejmuje przebudowę, remont oraz rozbudowę budynków w celu dokonania modernizacji urządzeń energetycznych.</w:t>
            </w:r>
          </w:p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TimesNewRoman"/>
                <w:sz w:val="24"/>
                <w:szCs w:val="24"/>
              </w:rPr>
            </w:pPr>
            <w:r w:rsidRPr="00F228E0">
              <w:rPr>
                <w:rFonts w:cs="TimesNewRoman"/>
                <w:sz w:val="24"/>
                <w:szCs w:val="24"/>
              </w:rPr>
              <w:t xml:space="preserve">Przebudowa – wykonywanie robót budowlanych, </w:t>
            </w:r>
            <w:r>
              <w:rPr>
                <w:rFonts w:cs="TimesNewRoman"/>
                <w:sz w:val="24"/>
                <w:szCs w:val="24"/>
              </w:rPr>
              <w:br/>
            </w:r>
            <w:r w:rsidRPr="00F228E0">
              <w:rPr>
                <w:rFonts w:cs="TimesNewRoman"/>
                <w:sz w:val="24"/>
                <w:szCs w:val="24"/>
              </w:rPr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TimesNewRoman"/>
                <w:sz w:val="24"/>
                <w:szCs w:val="24"/>
              </w:rPr>
            </w:pPr>
            <w:r w:rsidRPr="00F228E0">
              <w:rPr>
                <w:rFonts w:cs="TimesNewRoman"/>
                <w:sz w:val="24"/>
                <w:szCs w:val="24"/>
              </w:rPr>
              <w:t xml:space="preserve">Remont – wykonywanie w istniejącym obiekcie budowlanym robót budowlanych polegających na odtworzeniu stanu pierwotnego, a niestanowiących bieżącej konserwacji, przy czym dopuszcza się stosowanie wyrobów budowlanych innych niż użyto </w:t>
            </w:r>
            <w:r w:rsidR="00BE002C">
              <w:rPr>
                <w:rFonts w:cs="TimesNewRoman"/>
                <w:sz w:val="24"/>
                <w:szCs w:val="24"/>
              </w:rPr>
              <w:br/>
            </w:r>
            <w:r w:rsidRPr="00F228E0">
              <w:rPr>
                <w:rFonts w:cs="TimesNewRoman"/>
                <w:sz w:val="24"/>
                <w:szCs w:val="24"/>
              </w:rPr>
              <w:t xml:space="preserve">w stanie pierwotnym. 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rFonts w:cs="TimesNewRoman"/>
                <w:sz w:val="24"/>
                <w:szCs w:val="24"/>
              </w:rPr>
              <w:t xml:space="preserve">Rozbudowa – w budownictwie rodzaj budowy, </w:t>
            </w:r>
            <w:r w:rsidR="00BE002C">
              <w:rPr>
                <w:rFonts w:cs="TimesNewRoman"/>
                <w:sz w:val="24"/>
                <w:szCs w:val="24"/>
              </w:rPr>
              <w:br/>
            </w:r>
            <w:r w:rsidRPr="00F228E0">
              <w:rPr>
                <w:rFonts w:cs="TimesNewRoman"/>
                <w:sz w:val="24"/>
                <w:szCs w:val="24"/>
              </w:rPr>
              <w:t>w wyniku którego powstaje nowa część istniejącego już obiektu budowlanego.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3.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elektrycznej</w:t>
            </w:r>
            <w:r w:rsidRPr="0097603E">
              <w:rPr>
                <w:rFonts w:eastAsia="Times New Roman" w:cs="Arial"/>
                <w:i/>
                <w:sz w:val="24"/>
                <w:szCs w:val="24"/>
              </w:rPr>
              <w:br/>
              <w:t>z OZE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Jednostka wytwarzania energii elektrycznej obejmuje: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>i wyprowadzania mocy, opisany poprzez dane techniczne i handlowe, w przypadku budynków mieszkalnych i budynków użyteczności publicznej: zespół urządzeń służących do wytwarzania energii elektrycznej z OZE.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 xml:space="preserve">10 kwietnia 1997 r. Prawo energetyczne) – źródło </w:t>
            </w:r>
            <w:r w:rsidRPr="00F228E0">
              <w:rPr>
                <w:i/>
                <w:sz w:val="24"/>
                <w:szCs w:val="24"/>
              </w:rPr>
              <w:lastRenderedPageBreak/>
              <w:t xml:space="preserve">wykorzystujące w procesie przetwarzania energię wiatru, promieniowania słonecznego, aerotermalną, geotermalną, hydrotermalną, fal, prądów i pływów morskich, spadku rzek oraz energię pozyskiwaną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F228E0" w:rsidRPr="0097603E" w:rsidTr="000B6D33">
        <w:trPr>
          <w:trHeight w:val="4176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 xml:space="preserve">Liczba przebudowanych jednostek wytwarzania energii elektrycznej </w:t>
            </w:r>
            <w:r w:rsidRPr="0097603E">
              <w:rPr>
                <w:rFonts w:eastAsia="Times New Roman" w:cs="Arial"/>
                <w:i/>
                <w:sz w:val="24"/>
                <w:szCs w:val="24"/>
              </w:rPr>
              <w:br/>
              <w:t>z OZE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spacing w:before="40" w:after="4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Jednostka wytwarzania energii elektrycznej obejmuje:</w:t>
            </w:r>
          </w:p>
          <w:p w:rsidR="00F228E0" w:rsidRPr="00F228E0" w:rsidRDefault="00F228E0" w:rsidP="00F228E0">
            <w:pPr>
              <w:spacing w:before="40" w:after="4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>i wyprowadzania mocy, opisany poprzez dane techniczne i handlowe, w przypadku budynków mieszkalnych i budynków użyteczności publicznej: zespół urządzeń służących do wytwarzania energii elektrycznej z OZE.</w:t>
            </w:r>
          </w:p>
          <w:p w:rsidR="00F228E0" w:rsidRPr="00F228E0" w:rsidRDefault="00F228E0" w:rsidP="00F228E0">
            <w:pPr>
              <w:spacing w:before="40" w:after="4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 xml:space="preserve">10 kwietnia 1997 r. Prawo energetyczne) – źródło wykorzystujące w procesie przetwarzania energię wiatru, promieniowania słonecznego, aerotermalną, geotermalną, hydrotermalną, fal, prądów i pływów morskich, spadku rzek oraz energię pozyskiwaną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5.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cieplnej z OZE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Jednostka wytwarzania energii cieplnej obejmuje: 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 xml:space="preserve">i wyprowadzania mocy, opisany poprzez dane techniczne i handlowe, w przypadku budynków </w:t>
            </w:r>
            <w:r w:rsidRPr="00F228E0">
              <w:rPr>
                <w:sz w:val="24"/>
                <w:szCs w:val="24"/>
              </w:rPr>
              <w:lastRenderedPageBreak/>
              <w:t>mieszkalnych i budynków użyteczności publicznej: zespół urządzeń służących do wytwarzania energii cieplnej z OZE.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 xml:space="preserve">10 kwietnia 1997 r. Prawo energetyczne) – źródło wykorzystujące w procesie przetwarzania energię wiatru, promieniowania słonecznego, aerotermalną, geotermalną, hydrotermalną, fal, prądów i pływów morskich, spadku rzek oraz energię pozyskiwaną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F228E0" w:rsidRPr="0097603E" w:rsidTr="00743327">
        <w:trPr>
          <w:trHeight w:val="4145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cieplnej z OZE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Jednostka wytwarzania energii elektrycznej obejmuje: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>i wyprowadzania mocy, opisany poprzez dane techniczne i handlowe, w przypadku budynków mieszkalnych i budynków użyteczności publicznej: zespół urządzeń służących do wytwarzania energii cieplnej z OZE.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 xml:space="preserve">10 kwietnia 1997 r. Prawo energetyczne) – źródło wykorzystujące w procesie przetwarzania energię wiatru, promieniowania słonecznego, aerotermalną, geotermalną, hydrotermalną, fal, prądów i pływów morskich, spadku rzek oraz energię pozyskiwaną </w:t>
            </w:r>
            <w:r w:rsidR="00BE002C">
              <w:rPr>
                <w:i/>
                <w:sz w:val="24"/>
                <w:szCs w:val="24"/>
              </w:rPr>
              <w:br/>
            </w:r>
            <w:r w:rsidRPr="00F228E0">
              <w:rPr>
                <w:i/>
                <w:sz w:val="24"/>
                <w:szCs w:val="24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F228E0" w:rsidRPr="0097603E" w:rsidTr="00BE002C">
        <w:trPr>
          <w:trHeight w:val="968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Dodatkowa zdolność wytwarzania energii elektrycznej ze źródeł odnawialnych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MWe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F228E0" w:rsidRPr="0097603E" w:rsidTr="00743327">
        <w:trPr>
          <w:trHeight w:val="1470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8.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Dodatkowa zdolność wytwarzania energii cieplnej ze źródeł odnawialnych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MWt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9.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 xml:space="preserve">Liczba wybudowanych jednostek wytwarzania energii elektrycznej </w:t>
            </w:r>
            <w:r w:rsidRPr="0097603E">
              <w:rPr>
                <w:rFonts w:eastAsia="Times New Roman" w:cs="Arial"/>
                <w:i/>
                <w:sz w:val="24"/>
                <w:szCs w:val="24"/>
              </w:rPr>
              <w:br/>
              <w:t>i cieplnej w ramach kogeneracji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Wskaźnik mierzy liczbę wybudowanych w wyniku realizacji projektu jednostek [zespołów, urządzeń] służących do wytwarzania energii elektrycznej i cieplnej w kogeneracji. 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Jednostka kogeneracji – </w:t>
            </w:r>
            <w:r w:rsidRPr="00F228E0">
              <w:rPr>
                <w:sz w:val="24"/>
                <w:szCs w:val="24"/>
              </w:rPr>
              <w:t xml:space="preserve">jednostka, która może działać w trybie kogeneracji. 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Kogeneracja – </w:t>
            </w:r>
            <w:r w:rsidRPr="00F228E0">
              <w:rPr>
                <w:sz w:val="24"/>
                <w:szCs w:val="24"/>
              </w:rPr>
              <w:t xml:space="preserve">równoczesne wytwarzanie ciepła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>i energii elektrycznej lub mechanicznej w trakcie tego samego procesu technologicznego. Istotą kogeneracji jest jednoczesne wytwarzanie kilku rodzajów energii przy użyciu jednego zespołu urządzeń. Jedynie energia elektryczna i ciepło wytworzone w urządzeniach wchodzących w skład jednostki kogeneracji uznaje się za energię wytworzoną w kogeneracji.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10.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 xml:space="preserve">Liczba przebudowanych jednostek wytwarzania energii elektrycznej </w:t>
            </w:r>
            <w:r w:rsidRPr="0097603E">
              <w:rPr>
                <w:rFonts w:eastAsia="Times New Roman" w:cs="Arial"/>
                <w:i/>
                <w:sz w:val="24"/>
                <w:szCs w:val="24"/>
              </w:rPr>
              <w:br/>
              <w:t>i cieplnej w ramach kogeneracji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Wskaźnik mierzy liczbę przebudowanych w wyniku realizacji projektu jednostek [zespołów, urządzeń] służących do wytwarzania energii elektrycznej i cieplnej w kogeneracji. 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Jednostka kogeneracji – </w:t>
            </w:r>
            <w:r w:rsidRPr="00F228E0">
              <w:rPr>
                <w:sz w:val="24"/>
                <w:szCs w:val="24"/>
              </w:rPr>
              <w:t xml:space="preserve">jednostka, która może działać </w:t>
            </w:r>
            <w:r w:rsidRPr="00F228E0">
              <w:rPr>
                <w:sz w:val="24"/>
                <w:szCs w:val="24"/>
              </w:rPr>
              <w:br/>
              <w:t xml:space="preserve">w trybie kogeneracji. 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 xml:space="preserve">Kogeneracja – </w:t>
            </w:r>
            <w:r w:rsidRPr="00F228E0">
              <w:rPr>
                <w:sz w:val="24"/>
                <w:szCs w:val="24"/>
              </w:rPr>
              <w:t xml:space="preserve">równoczesne wytwarzanie ciepła i energii elektrycznej lub mechanicznej w trakcie </w:t>
            </w:r>
            <w:r w:rsidRPr="00F228E0">
              <w:rPr>
                <w:sz w:val="24"/>
                <w:szCs w:val="24"/>
              </w:rPr>
              <w:lastRenderedPageBreak/>
              <w:t>tego samego procesu technologicznego. Istotą kogeneracji jest jednoczesne wytwarzanie kilku rodzajów energii przy użyciu jednego zespołu urządzeń. Jedynie energia elektryczna i ciepło wytworzone w urządzeniach wchodzących w skład jednostki kogeneracji uznaje się za energię wytworzoną w kogeneracji.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Powierzchnia użytkowa budynków poddanych termomodernizacji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m</w:t>
            </w:r>
            <w:r w:rsidRPr="0097603E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produkt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Ilość m2 powierzchni użytkowej poddanej termomodernizacji, gdzie termomodernizacja definiowana jest jako przedsięwzięcia służące poprawie efektywności energetycznej, zgodnie z zapisami:</w:t>
            </w:r>
          </w:p>
          <w:p w:rsidR="00F228E0" w:rsidRPr="00F228E0" w:rsidRDefault="00F228E0" w:rsidP="00F228E0">
            <w:pPr>
              <w:numPr>
                <w:ilvl w:val="0"/>
                <w:numId w:val="10"/>
              </w:numPr>
              <w:spacing w:before="60" w:after="60"/>
              <w:ind w:left="336" w:hanging="284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Ustawy z dnia 15 kwietnia 2011 r. o efektywności energetycznej;</w:t>
            </w:r>
          </w:p>
          <w:p w:rsidR="00F228E0" w:rsidRPr="00F228E0" w:rsidRDefault="00F228E0" w:rsidP="00F228E0">
            <w:pPr>
              <w:numPr>
                <w:ilvl w:val="0"/>
                <w:numId w:val="10"/>
              </w:numPr>
              <w:spacing w:before="60" w:after="60"/>
              <w:ind w:left="336" w:hanging="284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Obwieszczenia Ministra Gospodarki z dnia 21 grudnia 2012 r. w sprawie szczegółowego wykazu przedsięwzięć służących poprawie efektywności energetycznej;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Ustawy z dnia 21 listopada 2008 r. o wspieraniu termomodernizacji i remontów.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12.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Szacowany roczny spadek emisji gazów cieplarnianych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eastAsia="Times New Roman" w:cs="Arial"/>
                <w:sz w:val="24"/>
                <w:szCs w:val="24"/>
              </w:rPr>
              <w:t>tony równoważnika CO</w:t>
            </w:r>
            <w:r w:rsidRPr="0097603E">
              <w:rPr>
                <w:rFonts w:eastAsia="Times New Roman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Common Indicator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>z ewentualnym wpływem emisji gazów cieplarnianych są opcjonalne. Wskaźnik pokaże łączny szacunkowy roczny spadek na koniec okresu, a nie całkowity spadek w całym okresie.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 przypadku produkcji energii odnawialnej, prognoza opiera się na ilości energii pierwotnej produkowanej przez wspierane obiekty w danym roku (albo jeden rok po zakończeniu projektu lub w roku kalendarzowym, po zakończeniu projektu). Energia odnawialna ma być neutralna w kwestii emisji gazów cieplarnianych </w:t>
            </w:r>
            <w:r w:rsidRPr="00F228E0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lastRenderedPageBreak/>
              <w:t>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W przypadku działań na rzecz oszczędności energii, prognoza opiera się na ilości energii pierwotnej zaoszczędzonej przez wspierane działania w danym roku (albo jeden rok po zakończeniu projektu lub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 xml:space="preserve">w roku kalendarzowym, po zakończeniu projektu). Energia zaoszczędzona ma zastąpić produkcję energii ze źródeł nieodnawialnych. Wpływ emisji gazów cieplarnianych na energię nieodnawialną określany jest poprzez emisję całkowitą gazów cieplarnianych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>w państwie członkowskim na jednostkę wyprodukowanej energii nieodnawialnej.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Ilość zaoszczędzonej energii elektrycznej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MWh/</w:t>
            </w:r>
            <w:r w:rsidRPr="0097603E">
              <w:rPr>
                <w:rFonts w:cs="Arial"/>
                <w:sz w:val="24"/>
                <w:szCs w:val="24"/>
              </w:rPr>
              <w:br/>
              <w:t>rok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 xml:space="preserve">Ilość zaoszczędzonej w wyniku realizacji projektu energii elektrycznej w dystrybucji w ciągu pełnego roku po zakończeniu projektu w stosunku do roku bazowego. </w:t>
            </w:r>
          </w:p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elektrycznej w roku bazowym w stosunku do rocznego zużycia energii elektrycznej po zakończeniu projektu, skorygowana </w:t>
            </w:r>
            <w:r w:rsidR="00BE002C">
              <w:rPr>
                <w:rFonts w:cs="Arial"/>
                <w:sz w:val="24"/>
                <w:szCs w:val="24"/>
              </w:rPr>
              <w:br/>
            </w:r>
            <w:r w:rsidRPr="00F228E0">
              <w:rPr>
                <w:rFonts w:cs="Arial"/>
                <w:sz w:val="24"/>
                <w:szCs w:val="24"/>
              </w:rPr>
              <w:t xml:space="preserve">w przypadku zmiany wielkości produkcji. </w:t>
            </w:r>
          </w:p>
          <w:p w:rsidR="00F228E0" w:rsidRPr="00F228E0" w:rsidRDefault="00F228E0" w:rsidP="00BE002C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W przypadku modernizacji energetycznej budynków: różnica między rocznym zużyciem energii elektrycznej w roku bazowym w stosunku do rocznego zużycia energii elektrycznej po zakończeniu projektu.</w:t>
            </w:r>
          </w:p>
        </w:tc>
      </w:tr>
      <w:tr w:rsidR="00F228E0" w:rsidRPr="0097603E" w:rsidTr="00743327">
        <w:trPr>
          <w:trHeight w:val="50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14.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Ilość zaoszczędzonej energii cieplnej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Ilość zaoszczędzonej w wyniku realizacji projektu energii cieplnej w dystrybucji w ciągu pełnego roku po zakończeniu projektu.</w:t>
            </w:r>
          </w:p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cieplnej w roku bazowym w stosunku do rocznego zużycia </w:t>
            </w:r>
            <w:r w:rsidRPr="00F228E0">
              <w:rPr>
                <w:rFonts w:cs="Arial"/>
                <w:sz w:val="24"/>
                <w:szCs w:val="24"/>
              </w:rPr>
              <w:lastRenderedPageBreak/>
              <w:t xml:space="preserve">energii cieplnej po zakończeniu projektu, skorygowana </w:t>
            </w:r>
            <w:r w:rsidR="00BE002C">
              <w:rPr>
                <w:rFonts w:cs="Arial"/>
                <w:sz w:val="24"/>
                <w:szCs w:val="24"/>
              </w:rPr>
              <w:br/>
            </w:r>
            <w:r w:rsidRPr="00F228E0">
              <w:rPr>
                <w:rFonts w:cs="Arial"/>
                <w:sz w:val="24"/>
                <w:szCs w:val="24"/>
              </w:rPr>
              <w:t xml:space="preserve">w przypadku zmiany wielkości produkcji. </w:t>
            </w:r>
          </w:p>
          <w:p w:rsidR="00F228E0" w:rsidRPr="00F228E0" w:rsidRDefault="00F228E0" w:rsidP="00F228E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W przypadku modernizacji energetycznej budynków: różnica między rocznym zużyciem energii cieplnej  w roku bazowym w stosunku do rocznego zużycia energii cieplnej po zakończeniu projektu.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 xml:space="preserve">Energia cieplna – energia w wodzie gorącej, parze lub </w:t>
            </w:r>
            <w:r w:rsidRPr="00F228E0">
              <w:rPr>
                <w:rFonts w:cs="Arial"/>
                <w:sz w:val="24"/>
                <w:szCs w:val="24"/>
              </w:rPr>
              <w:br/>
              <w:t>w innych nośnikach.</w:t>
            </w:r>
          </w:p>
        </w:tc>
      </w:tr>
      <w:tr w:rsidR="00F228E0" w:rsidRPr="0097603E" w:rsidTr="00AA16EA">
        <w:trPr>
          <w:trHeight w:val="891"/>
        </w:trPr>
        <w:tc>
          <w:tcPr>
            <w:tcW w:w="671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42" w:type="dxa"/>
            <w:vAlign w:val="center"/>
          </w:tcPr>
          <w:p w:rsidR="00F228E0" w:rsidRPr="0097603E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97603E">
              <w:rPr>
                <w:rFonts w:eastAsia="Times New Roman" w:cs="Arial"/>
                <w:i/>
                <w:sz w:val="24"/>
                <w:szCs w:val="24"/>
              </w:rPr>
              <w:t>Zmniejszenie zużycia energii końcowej w wyniku realizacji projektów</w:t>
            </w:r>
          </w:p>
        </w:tc>
        <w:tc>
          <w:tcPr>
            <w:tcW w:w="1134" w:type="dxa"/>
            <w:vAlign w:val="center"/>
          </w:tcPr>
          <w:p w:rsidR="00F228E0" w:rsidRPr="0097603E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97603E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5" w:type="dxa"/>
            <w:vAlign w:val="center"/>
          </w:tcPr>
          <w:p w:rsidR="00F228E0" w:rsidRPr="0097603E" w:rsidRDefault="00F228E0" w:rsidP="00F228E0">
            <w:pPr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97603E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97603E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 xml:space="preserve">Przez bezpośrednie (końcowe) zużycie energii, wyrażone w GJ/rok, w procesie technologicznym </w:t>
            </w:r>
            <w:r w:rsidR="00BE002C">
              <w:rPr>
                <w:sz w:val="24"/>
                <w:szCs w:val="24"/>
              </w:rPr>
              <w:br/>
            </w:r>
            <w:r w:rsidRPr="00F228E0">
              <w:rPr>
                <w:sz w:val="24"/>
                <w:szCs w:val="24"/>
              </w:rPr>
              <w:t>(w tym wytwarzania ciepła na cele bytowe) należy rozumieć: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1. zużycie poszczególnych nośników energii nie podlegających dalszemu przetwarzaniu na inne nośniki energii,</w:t>
            </w:r>
          </w:p>
          <w:p w:rsidR="00F228E0" w:rsidRPr="00F228E0" w:rsidRDefault="00F228E0" w:rsidP="00F228E0">
            <w:pPr>
              <w:spacing w:before="60" w:after="60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2. zużycie energii doprowadzonej do procesu technologicznego za pośrednictwem tzw. mediów (np. wody przemysłowej, sprężonego powietrza, tlenu, azotu).</w:t>
            </w:r>
          </w:p>
        </w:tc>
      </w:tr>
      <w:tr w:rsidR="00F228E0" w:rsidRPr="0097603E" w:rsidTr="00AA16EA">
        <w:trPr>
          <w:trHeight w:val="1128"/>
        </w:trPr>
        <w:tc>
          <w:tcPr>
            <w:tcW w:w="671" w:type="dxa"/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16.</w:t>
            </w:r>
          </w:p>
        </w:tc>
        <w:tc>
          <w:tcPr>
            <w:tcW w:w="3142" w:type="dxa"/>
            <w:vAlign w:val="center"/>
          </w:tcPr>
          <w:p w:rsidR="00F228E0" w:rsidRPr="00F228E0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F228E0">
              <w:rPr>
                <w:rFonts w:eastAsia="Times New Roman" w:cs="Arial"/>
                <w:i/>
                <w:sz w:val="24"/>
                <w:szCs w:val="24"/>
              </w:rPr>
              <w:t xml:space="preserve">Produkcja energii elektrycznej </w:t>
            </w:r>
            <w:r w:rsidRPr="00F228E0">
              <w:rPr>
                <w:rFonts w:eastAsia="Times New Roman" w:cs="Arial"/>
                <w:i/>
                <w:sz w:val="24"/>
                <w:szCs w:val="24"/>
              </w:rPr>
              <w:br/>
              <w:t>z nowo wybudowanych instalacji wykorzystujących OZE</w:t>
            </w:r>
          </w:p>
        </w:tc>
        <w:tc>
          <w:tcPr>
            <w:tcW w:w="1134" w:type="dxa"/>
            <w:vAlign w:val="center"/>
          </w:tcPr>
          <w:p w:rsidR="00BE002C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MWhe</w:t>
            </w:r>
          </w:p>
          <w:p w:rsidR="00F228E0" w:rsidRPr="00F228E0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/rok</w:t>
            </w:r>
          </w:p>
        </w:tc>
        <w:tc>
          <w:tcPr>
            <w:tcW w:w="1275" w:type="dxa"/>
            <w:vAlign w:val="center"/>
          </w:tcPr>
          <w:p w:rsidR="00F228E0" w:rsidRPr="00F228E0" w:rsidRDefault="00F228E0" w:rsidP="00F228E0">
            <w:pPr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vAlign w:val="center"/>
          </w:tcPr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</w:rPr>
              <w:t>Wskaźnik mierzy roczną wielkość produkcji energii elektrycznej z nowo wybudowanych instalacji odnawialnego źródła energii.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F228E0">
              <w:rPr>
                <w:rFonts w:asciiTheme="minorHAnsi" w:hAnsiTheme="minorHAnsi"/>
              </w:rPr>
              <w:t xml:space="preserve">– energia przetworzona w dowolnej postaci (art. 3 pkt 1 ustawy z dnia 10 kwietnia 1997 r. Prawo energetyczne).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F228E0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w których energia elektryczna lub ciepło są wytwarzane z jednego rodzaju odnawialnych źródeł energii, a także magazyn energii elektrycznej przechowujący wytworzoną energię elektryczną, połączony z tym zespołem urządzeń lub b) obiektów budowlanych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i urządzeń stanowiących całość techniczno-użytkową </w:t>
            </w:r>
            <w:r w:rsidRPr="00F228E0">
              <w:rPr>
                <w:rFonts w:asciiTheme="minorHAnsi" w:hAnsiTheme="minorHAnsi"/>
              </w:rPr>
              <w:lastRenderedPageBreak/>
              <w:t xml:space="preserve">służący do wytwarzania biogazu rolniczego, a także połączony z nimi magazyn biogazu rolniczego (art. 2 pkt 22 ustawy z dnia 20 lutego 2015 r. o odnawialnych źródłach energii).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F228E0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20 lutego 2015 r. o odnawialnych źródłach energii). </w:t>
            </w:r>
          </w:p>
          <w:p w:rsidR="00F228E0" w:rsidRPr="00F228E0" w:rsidRDefault="00F228E0" w:rsidP="00F228E0">
            <w:pPr>
              <w:rPr>
                <w:i/>
                <w:color w:val="C00000"/>
                <w:sz w:val="24"/>
                <w:szCs w:val="24"/>
              </w:rPr>
            </w:pPr>
            <w:r w:rsidRPr="00F228E0">
              <w:rPr>
                <w:i/>
                <w:iCs/>
                <w:sz w:val="24"/>
                <w:szCs w:val="24"/>
              </w:rPr>
              <w:t xml:space="preserve">Wytwarzanie </w:t>
            </w:r>
            <w:r w:rsidRPr="00F228E0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F228E0" w:rsidRPr="00F228E0" w:rsidRDefault="00F228E0" w:rsidP="00F228E0">
            <w:pPr>
              <w:rPr>
                <w:i/>
                <w:color w:val="C00000"/>
                <w:sz w:val="24"/>
                <w:szCs w:val="24"/>
              </w:rPr>
            </w:pPr>
            <w:r w:rsidRPr="00F228E0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F228E0" w:rsidRPr="0097603E" w:rsidTr="00AA16EA">
        <w:trPr>
          <w:trHeight w:val="1115"/>
        </w:trPr>
        <w:tc>
          <w:tcPr>
            <w:tcW w:w="671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142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F228E0">
              <w:rPr>
                <w:rFonts w:eastAsia="Times New Roman" w:cs="Arial"/>
                <w:i/>
                <w:sz w:val="24"/>
                <w:szCs w:val="24"/>
              </w:rPr>
              <w:t xml:space="preserve">Produkcja energii elektrycznej </w:t>
            </w:r>
            <w:r w:rsidRPr="00F228E0">
              <w:rPr>
                <w:rFonts w:eastAsia="Times New Roman" w:cs="Arial"/>
                <w:i/>
                <w:sz w:val="24"/>
                <w:szCs w:val="24"/>
              </w:rPr>
              <w:br/>
              <w:t>z nowych mocy wytwórczych instalacji wykorzystujących OZE</w:t>
            </w:r>
          </w:p>
        </w:tc>
        <w:tc>
          <w:tcPr>
            <w:tcW w:w="1134" w:type="dxa"/>
            <w:tcBorders>
              <w:bottom w:val="single" w:sz="12" w:space="0" w:color="33CC33"/>
            </w:tcBorders>
            <w:vAlign w:val="center"/>
          </w:tcPr>
          <w:p w:rsidR="00BE002C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MWhe</w:t>
            </w:r>
          </w:p>
          <w:p w:rsidR="00F228E0" w:rsidRPr="00F228E0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/rok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</w:rPr>
              <w:t xml:space="preserve">Wskaźnik mierzy roczną wielkość produkcji energii elektrycznej z nowych mocy wytwórczych (istniejących instalacji) wykorzystujących odnawialne źródła energii.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F228E0">
              <w:rPr>
                <w:rFonts w:asciiTheme="minorHAnsi" w:hAnsiTheme="minorHAnsi"/>
              </w:rPr>
              <w:t xml:space="preserve">– energia przetworzona w dowolnej postaci (art. 3 pkt 1 ustawy z dnia 10 kwietnia 1997 r. Prawo energetyczne).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F228E0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w których energia elektryczna lub ciepło są wytwarzane z jednego rodzaju odnawialnych źródeł energii, a także magazyn energii elektrycznej przechowujący wytworzoną energię elektryczną, połączony z tym zespołem urządzeń lub b) obiektów budowlanych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lastRenderedPageBreak/>
              <w:t xml:space="preserve">Odnawialne źródło energii </w:t>
            </w:r>
            <w:r w:rsidRPr="00F228E0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20 lutego 2015 r. o odnawialnych źródłach energii). </w:t>
            </w:r>
          </w:p>
          <w:p w:rsidR="00F228E0" w:rsidRPr="00F228E0" w:rsidRDefault="00F228E0" w:rsidP="00F228E0">
            <w:pPr>
              <w:rPr>
                <w:i/>
                <w:color w:val="C00000"/>
                <w:sz w:val="24"/>
                <w:szCs w:val="24"/>
              </w:rPr>
            </w:pPr>
            <w:r w:rsidRPr="00F228E0">
              <w:rPr>
                <w:i/>
                <w:iCs/>
                <w:sz w:val="24"/>
                <w:szCs w:val="24"/>
              </w:rPr>
              <w:t xml:space="preserve">Wytwarzanie </w:t>
            </w:r>
            <w:r w:rsidRPr="00F228E0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F228E0" w:rsidRPr="00F228E0" w:rsidRDefault="00F228E0" w:rsidP="00F228E0">
            <w:pPr>
              <w:rPr>
                <w:i/>
                <w:color w:val="C00000"/>
                <w:sz w:val="24"/>
                <w:szCs w:val="24"/>
              </w:rPr>
            </w:pPr>
            <w:r w:rsidRPr="00F228E0">
              <w:rPr>
                <w:i/>
                <w:color w:val="000000" w:themeColor="text1"/>
                <w:sz w:val="24"/>
                <w:szCs w:val="24"/>
              </w:rPr>
              <w:t>[Definicja opracowana przez IZ RPO WO 2014-2020</w:t>
            </w:r>
            <w:r w:rsidRPr="00F228E0">
              <w:rPr>
                <w:i/>
                <w:color w:val="C00000"/>
                <w:sz w:val="24"/>
                <w:szCs w:val="24"/>
              </w:rPr>
              <w:t>]</w:t>
            </w:r>
          </w:p>
        </w:tc>
      </w:tr>
      <w:tr w:rsidR="00F228E0" w:rsidRPr="0097603E" w:rsidTr="00BE002C">
        <w:trPr>
          <w:trHeight w:val="381"/>
        </w:trPr>
        <w:tc>
          <w:tcPr>
            <w:tcW w:w="671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142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F228E0">
              <w:rPr>
                <w:rFonts w:eastAsia="Times New Roman" w:cs="Arial"/>
                <w:i/>
                <w:sz w:val="24"/>
                <w:szCs w:val="24"/>
              </w:rPr>
              <w:t>Produkcja energii cieplnej z nowo wybudowanych instalacji wykorzystujących OZE</w:t>
            </w:r>
          </w:p>
        </w:tc>
        <w:tc>
          <w:tcPr>
            <w:tcW w:w="1134" w:type="dxa"/>
            <w:tcBorders>
              <w:bottom w:val="single" w:sz="12" w:space="0" w:color="33CC33"/>
            </w:tcBorders>
            <w:vAlign w:val="center"/>
          </w:tcPr>
          <w:p w:rsidR="00BE002C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MWht</w:t>
            </w:r>
          </w:p>
          <w:p w:rsidR="00F228E0" w:rsidRPr="00F228E0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/rok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</w:rPr>
              <w:t xml:space="preserve">Wskaźnik mierzy roczną wielkość produkcji energii cieplnej z nowo wybudowanych instalacji odnawialnego źródła energii. 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F228E0">
              <w:rPr>
                <w:rFonts w:asciiTheme="minorHAnsi" w:hAnsiTheme="minorHAnsi"/>
              </w:rPr>
              <w:t xml:space="preserve">– energia cieplna w wodzie gorącej, parze lub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w innych nośnikach (art. 3 pkt 2 ustawy z dnia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10 kwietnia 1997 r. Prawo energetyczne).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F228E0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w których energia elektryczna lub ciepło są wytwarzane z jednego rodzaju odnawialnych źródeł energii, a także magazyn energii elektrycznej przechowujący wytworzoną energię elektryczną, połączony z tym zespołem urządzeń lub b) obiektów budowlanych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F228E0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</w:t>
            </w:r>
            <w:r w:rsidRPr="00F228E0">
              <w:rPr>
                <w:rFonts w:asciiTheme="minorHAnsi" w:hAnsiTheme="minorHAnsi"/>
              </w:rPr>
              <w:lastRenderedPageBreak/>
              <w:t xml:space="preserve">energię hydrotermalną, hydroenergię, energię fal, prądów i pływów morskich, energię otrzymywaną z biomasy, biogazu, biogazu rolniczego oraz z biopłynów (art. 2 pkt 22 ustawy z dnia 20 lutego 2015 r. o odnawialnych źródłach energii). </w:t>
            </w:r>
          </w:p>
          <w:p w:rsidR="00F228E0" w:rsidRPr="00F228E0" w:rsidRDefault="00F228E0" w:rsidP="00F228E0">
            <w:pPr>
              <w:rPr>
                <w:sz w:val="24"/>
                <w:szCs w:val="24"/>
              </w:rPr>
            </w:pPr>
            <w:r w:rsidRPr="00F228E0">
              <w:rPr>
                <w:i/>
                <w:iCs/>
                <w:sz w:val="24"/>
                <w:szCs w:val="24"/>
              </w:rPr>
              <w:t xml:space="preserve">Wytwarzanie </w:t>
            </w:r>
            <w:r w:rsidRPr="00F228E0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F228E0" w:rsidRPr="00F228E0" w:rsidRDefault="00F228E0" w:rsidP="00F228E0">
            <w:pPr>
              <w:rPr>
                <w:i/>
                <w:color w:val="C00000"/>
                <w:sz w:val="24"/>
                <w:szCs w:val="24"/>
              </w:rPr>
            </w:pPr>
            <w:r w:rsidRPr="00F228E0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F228E0" w:rsidRPr="0097603E" w:rsidTr="00AA16EA">
        <w:trPr>
          <w:trHeight w:val="1115"/>
        </w:trPr>
        <w:tc>
          <w:tcPr>
            <w:tcW w:w="671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42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F228E0">
              <w:rPr>
                <w:rFonts w:eastAsia="Times New Roman" w:cs="Arial"/>
                <w:i/>
                <w:sz w:val="24"/>
                <w:szCs w:val="24"/>
              </w:rPr>
              <w:t>Produkcja energii cieplnej z nowych mocy wytwórczych instalacji wykorzystujących OZE</w:t>
            </w:r>
          </w:p>
        </w:tc>
        <w:tc>
          <w:tcPr>
            <w:tcW w:w="1134" w:type="dxa"/>
            <w:tcBorders>
              <w:bottom w:val="single" w:sz="12" w:space="0" w:color="33CC33"/>
            </w:tcBorders>
            <w:vAlign w:val="center"/>
          </w:tcPr>
          <w:p w:rsidR="00BE002C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MWht</w:t>
            </w:r>
          </w:p>
          <w:p w:rsidR="00F228E0" w:rsidRPr="00F228E0" w:rsidRDefault="00F228E0" w:rsidP="00F228E0">
            <w:pPr>
              <w:jc w:val="center"/>
              <w:rPr>
                <w:rFonts w:cs="Arial"/>
                <w:sz w:val="24"/>
                <w:szCs w:val="24"/>
              </w:rPr>
            </w:pPr>
            <w:r w:rsidRPr="00F228E0">
              <w:rPr>
                <w:rFonts w:cs="Arial"/>
                <w:sz w:val="24"/>
                <w:szCs w:val="24"/>
              </w:rPr>
              <w:t>/rok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rezultat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kluczowy</w:t>
            </w:r>
          </w:p>
        </w:tc>
        <w:tc>
          <w:tcPr>
            <w:tcW w:w="1418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228E0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bottom w:val="single" w:sz="12" w:space="0" w:color="33CC33"/>
            </w:tcBorders>
            <w:vAlign w:val="center"/>
          </w:tcPr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</w:rPr>
              <w:t xml:space="preserve">Wskaźnik mierzy roczną wielkość produkcji energii cieplnej z nowych mocy wytwórczych (istniejących instalacji) wykorzystujących odnawialne źródła energii.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F228E0">
              <w:rPr>
                <w:rFonts w:asciiTheme="minorHAnsi" w:hAnsiTheme="minorHAnsi"/>
              </w:rPr>
              <w:t xml:space="preserve">– energia cieplna w wodzie gorącej, parze lub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w innych nośnikach (art. 3 pkt 2 ustawy z dnia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10 kwietnia 1997 r. Prawo energetyczne).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F228E0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w których energia elektryczna lub ciepło są wytwarzane z jednego rodzaju odnawialnych źródeł energii, a także magazyn energii elektrycznej przechowujący wytworzoną energię elektryczną, połączony z tym zespołem urządzeń lub b) obiektów budowlanych </w:t>
            </w:r>
            <w:r w:rsidR="00BE002C">
              <w:rPr>
                <w:rFonts w:asciiTheme="minorHAnsi" w:hAnsiTheme="minorHAnsi"/>
              </w:rPr>
              <w:br/>
            </w:r>
            <w:r w:rsidRPr="00F228E0">
              <w:rPr>
                <w:rFonts w:asciiTheme="minorHAnsi" w:hAnsiTheme="minorHAnsi"/>
              </w:rPr>
              <w:t xml:space="preserve">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F228E0" w:rsidRPr="00F228E0" w:rsidRDefault="00F228E0" w:rsidP="00F228E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F228E0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F228E0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</w:t>
            </w:r>
            <w:r w:rsidRPr="00F228E0">
              <w:rPr>
                <w:rFonts w:asciiTheme="minorHAnsi" w:hAnsiTheme="minorHAnsi"/>
              </w:rPr>
              <w:lastRenderedPageBreak/>
              <w:t xml:space="preserve">biopłynów (art. 2 pkt 22 ustawy z dnia 20 lutego 2015 r. o odnawialnych źródłach energii). </w:t>
            </w:r>
          </w:p>
          <w:p w:rsidR="00F228E0" w:rsidRPr="00F228E0" w:rsidRDefault="00F228E0" w:rsidP="00F228E0">
            <w:pPr>
              <w:rPr>
                <w:sz w:val="24"/>
                <w:szCs w:val="24"/>
              </w:rPr>
            </w:pPr>
            <w:r w:rsidRPr="00F228E0">
              <w:rPr>
                <w:i/>
                <w:iCs/>
                <w:sz w:val="24"/>
                <w:szCs w:val="24"/>
              </w:rPr>
              <w:t xml:space="preserve">Wytwarzanie </w:t>
            </w:r>
            <w:r w:rsidRPr="00F228E0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F228E0" w:rsidRPr="00F228E0" w:rsidRDefault="00F228E0" w:rsidP="00F228E0">
            <w:pPr>
              <w:rPr>
                <w:i/>
                <w:color w:val="C00000"/>
                <w:sz w:val="24"/>
                <w:szCs w:val="24"/>
              </w:rPr>
            </w:pPr>
            <w:r w:rsidRPr="00F228E0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</w:tbl>
    <w:p w:rsidR="001D3621" w:rsidRDefault="001D3621"/>
    <w:sectPr w:rsidR="001D3621" w:rsidSect="00B50A44">
      <w:headerReference w:type="default" r:id="rId9"/>
      <w:footerReference w:type="default" r:id="rId10"/>
      <w:headerReference w:type="first" r:id="rId11"/>
      <w:pgSz w:w="16838" w:h="11906" w:orient="landscape"/>
      <w:pgMar w:top="1418" w:right="962" w:bottom="1418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D3" w:rsidRDefault="00695DD3" w:rsidP="00A11280">
      <w:pPr>
        <w:spacing w:after="0" w:line="240" w:lineRule="auto"/>
      </w:pPr>
      <w:r>
        <w:separator/>
      </w:r>
    </w:p>
  </w:endnote>
  <w:endnote w:type="continuationSeparator" w:id="0">
    <w:p w:rsidR="00695DD3" w:rsidRDefault="00695DD3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80119589"/>
      <w:docPartObj>
        <w:docPartGallery w:val="Page Numbers (Bottom of Page)"/>
        <w:docPartUnique/>
      </w:docPartObj>
    </w:sdtPr>
    <w:sdtEndPr/>
    <w:sdtContent>
      <w:p w:rsidR="00C417EC" w:rsidRPr="00D47A5A" w:rsidRDefault="00951710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="00C417EC"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E420A4">
          <w:rPr>
            <w:noProof/>
            <w:sz w:val="20"/>
          </w:rPr>
          <w:t>3</w:t>
        </w:r>
        <w:r w:rsidRPr="00D47A5A">
          <w:rPr>
            <w:sz w:val="20"/>
          </w:rPr>
          <w:fldChar w:fldCharType="end"/>
        </w:r>
      </w:p>
    </w:sdtContent>
  </w:sdt>
  <w:p w:rsidR="00C417EC" w:rsidRDefault="00C41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D3" w:rsidRDefault="00695DD3" w:rsidP="00A11280">
      <w:pPr>
        <w:spacing w:after="0" w:line="240" w:lineRule="auto"/>
      </w:pPr>
      <w:r>
        <w:separator/>
      </w:r>
    </w:p>
  </w:footnote>
  <w:footnote w:type="continuationSeparator" w:id="0">
    <w:p w:rsidR="00695DD3" w:rsidRDefault="00695DD3" w:rsidP="00A11280">
      <w:pPr>
        <w:spacing w:after="0" w:line="240" w:lineRule="auto"/>
      </w:pPr>
      <w:r>
        <w:continuationSeparator/>
      </w:r>
    </w:p>
  </w:footnote>
  <w:footnote w:id="1">
    <w:p w:rsidR="0097603E" w:rsidRPr="00137AD2" w:rsidRDefault="0097603E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69" w:rsidRPr="006D1A41" w:rsidRDefault="00537869" w:rsidP="00537869">
    <w:pPr>
      <w:widowControl w:val="0"/>
      <w:spacing w:after="0" w:line="259" w:lineRule="auto"/>
      <w:jc w:val="right"/>
      <w:rPr>
        <w:i/>
        <w:iCs/>
        <w:sz w:val="20"/>
        <w:szCs w:val="20"/>
        <w:lang w:eastAsia="en-US"/>
      </w:rPr>
    </w:pPr>
    <w:r w:rsidRPr="006D1A41">
      <w:rPr>
        <w:b/>
        <w:bCs/>
        <w:i/>
        <w:iCs/>
        <w:sz w:val="20"/>
        <w:szCs w:val="20"/>
        <w:lang w:eastAsia="en-US"/>
      </w:rPr>
      <w:t xml:space="preserve">Załącznik nr </w:t>
    </w:r>
    <w:r>
      <w:rPr>
        <w:b/>
        <w:bCs/>
        <w:i/>
        <w:iCs/>
        <w:sz w:val="20"/>
        <w:szCs w:val="20"/>
        <w:lang w:eastAsia="en-US"/>
      </w:rPr>
      <w:t>8</w:t>
    </w:r>
    <w:r w:rsidRPr="006D1A41">
      <w:rPr>
        <w:b/>
        <w:bCs/>
        <w:i/>
        <w:iCs/>
        <w:sz w:val="20"/>
        <w:szCs w:val="20"/>
        <w:lang w:eastAsia="en-US"/>
      </w:rPr>
      <w:t xml:space="preserve">  </w:t>
    </w:r>
    <w:r w:rsidRPr="006D1A41">
      <w:rPr>
        <w:i/>
        <w:iCs/>
        <w:sz w:val="20"/>
        <w:szCs w:val="20"/>
        <w:lang w:eastAsia="en-US"/>
      </w:rPr>
      <w:t xml:space="preserve">do Regulaminu konkursu </w:t>
    </w:r>
  </w:p>
  <w:p w:rsidR="00537869" w:rsidRPr="006D1A41" w:rsidRDefault="00537869" w:rsidP="00537869">
    <w:pPr>
      <w:widowControl w:val="0"/>
      <w:spacing w:after="0" w:line="259" w:lineRule="auto"/>
      <w:jc w:val="right"/>
      <w:rPr>
        <w:i/>
        <w:iCs/>
        <w:sz w:val="20"/>
        <w:szCs w:val="20"/>
      </w:rPr>
    </w:pPr>
    <w:r w:rsidRPr="006D1A41">
      <w:rPr>
        <w:i/>
        <w:iCs/>
        <w:sz w:val="20"/>
        <w:szCs w:val="20"/>
        <w:lang w:eastAsia="en-US"/>
      </w:rPr>
      <w:t xml:space="preserve">Działania </w:t>
    </w:r>
    <w:r w:rsidRPr="006D1A41">
      <w:rPr>
        <w:rFonts w:cs="Calibri"/>
        <w:i/>
        <w:iCs/>
        <w:sz w:val="20"/>
        <w:szCs w:val="20"/>
        <w:lang w:eastAsia="en-US"/>
      </w:rPr>
      <w:t xml:space="preserve">3.4  </w:t>
    </w:r>
    <w:r w:rsidRPr="006D1A41">
      <w:rPr>
        <w:rFonts w:ascii="Calibri" w:hAnsi="Calibri"/>
        <w:i/>
        <w:sz w:val="20"/>
        <w:szCs w:val="20"/>
      </w:rPr>
      <w:t>Efektywność energetyczna w MSP</w:t>
    </w:r>
  </w:p>
  <w:p w:rsidR="00537869" w:rsidRPr="006D1A41" w:rsidRDefault="00537869" w:rsidP="00537869">
    <w:pPr>
      <w:widowControl w:val="0"/>
      <w:spacing w:after="0" w:line="259" w:lineRule="auto"/>
      <w:jc w:val="right"/>
      <w:rPr>
        <w:i/>
        <w:iCs/>
        <w:sz w:val="20"/>
        <w:szCs w:val="20"/>
        <w:lang w:eastAsia="en-US"/>
      </w:rPr>
    </w:pPr>
    <w:r w:rsidRPr="006D1A41">
      <w:rPr>
        <w:i/>
        <w:iCs/>
        <w:sz w:val="20"/>
        <w:szCs w:val="20"/>
        <w:lang w:eastAsia="en-US"/>
      </w:rPr>
      <w:t xml:space="preserve"> w ramach RPO WO 2014-2020 Nabór I</w:t>
    </w:r>
  </w:p>
  <w:p w:rsidR="00537869" w:rsidRPr="006D1A41" w:rsidRDefault="00537869" w:rsidP="00537869">
    <w:pPr>
      <w:pStyle w:val="Nagwek"/>
      <w:jc w:val="right"/>
      <w:rPr>
        <w:sz w:val="20"/>
        <w:szCs w:val="20"/>
      </w:rPr>
    </w:pPr>
    <w:r w:rsidRPr="006D1A41">
      <w:rPr>
        <w:rFonts w:ascii="Calibri" w:hAnsi="Calibri"/>
        <w:i/>
        <w:iCs/>
        <w:sz w:val="20"/>
        <w:szCs w:val="20"/>
        <w:lang w:eastAsia="en-US"/>
      </w:rPr>
      <w:tab/>
    </w:r>
    <w:r w:rsidRPr="006D1A41">
      <w:rPr>
        <w:rFonts w:ascii="Calibri" w:hAnsi="Calibri"/>
        <w:i/>
        <w:iCs/>
        <w:sz w:val="20"/>
        <w:szCs w:val="20"/>
        <w:lang w:eastAsia="en-US"/>
      </w:rPr>
      <w:tab/>
      <w:t xml:space="preserve">        </w:t>
    </w:r>
    <w:r>
      <w:rPr>
        <w:i/>
        <w:iCs/>
        <w:lang w:eastAsia="en-US"/>
      </w:rPr>
      <w:tab/>
    </w:r>
    <w:r>
      <w:rPr>
        <w:i/>
        <w:iCs/>
        <w:lang w:eastAsia="en-US"/>
      </w:rPr>
      <w:tab/>
    </w:r>
    <w:r>
      <w:rPr>
        <w:i/>
        <w:iCs/>
        <w:lang w:eastAsia="en-US"/>
      </w:rPr>
      <w:tab/>
    </w:r>
    <w:r>
      <w:rPr>
        <w:i/>
        <w:iCs/>
        <w:lang w:eastAsia="en-US"/>
      </w:rPr>
      <w:tab/>
    </w:r>
    <w:r w:rsidRPr="006D1A41">
      <w:rPr>
        <w:rFonts w:ascii="Calibri" w:hAnsi="Calibri"/>
        <w:i/>
        <w:iCs/>
        <w:sz w:val="20"/>
        <w:szCs w:val="20"/>
        <w:lang w:val="en-US" w:eastAsia="en-US"/>
      </w:rPr>
      <w:t>Wersja nr 1, maj 2019 r.</w:t>
    </w:r>
  </w:p>
  <w:p w:rsidR="00C417EC" w:rsidRPr="00537869" w:rsidRDefault="00C417EC" w:rsidP="005378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69" w:rsidRPr="006D1A41" w:rsidRDefault="00537869" w:rsidP="00537869">
    <w:pPr>
      <w:widowControl w:val="0"/>
      <w:spacing w:after="0" w:line="259" w:lineRule="auto"/>
      <w:jc w:val="right"/>
      <w:rPr>
        <w:i/>
        <w:iCs/>
        <w:sz w:val="20"/>
        <w:szCs w:val="20"/>
        <w:lang w:eastAsia="en-US"/>
      </w:rPr>
    </w:pPr>
    <w:r w:rsidRPr="006D1A41">
      <w:rPr>
        <w:b/>
        <w:bCs/>
        <w:i/>
        <w:iCs/>
        <w:sz w:val="20"/>
        <w:szCs w:val="20"/>
        <w:lang w:eastAsia="en-US"/>
      </w:rPr>
      <w:t xml:space="preserve">Załącznik nr </w:t>
    </w:r>
    <w:r>
      <w:rPr>
        <w:b/>
        <w:bCs/>
        <w:i/>
        <w:iCs/>
        <w:sz w:val="20"/>
        <w:szCs w:val="20"/>
        <w:lang w:eastAsia="en-US"/>
      </w:rPr>
      <w:t>8</w:t>
    </w:r>
    <w:r w:rsidRPr="006D1A41">
      <w:rPr>
        <w:b/>
        <w:bCs/>
        <w:i/>
        <w:iCs/>
        <w:sz w:val="20"/>
        <w:szCs w:val="20"/>
        <w:lang w:eastAsia="en-US"/>
      </w:rPr>
      <w:t xml:space="preserve">  </w:t>
    </w:r>
    <w:r w:rsidRPr="006D1A41">
      <w:rPr>
        <w:i/>
        <w:iCs/>
        <w:sz w:val="20"/>
        <w:szCs w:val="20"/>
        <w:lang w:eastAsia="en-US"/>
      </w:rPr>
      <w:t xml:space="preserve">do Regulaminu konkursu </w:t>
    </w:r>
  </w:p>
  <w:p w:rsidR="00537869" w:rsidRPr="006D1A41" w:rsidRDefault="00537869" w:rsidP="00537869">
    <w:pPr>
      <w:widowControl w:val="0"/>
      <w:spacing w:after="0" w:line="259" w:lineRule="auto"/>
      <w:jc w:val="right"/>
      <w:rPr>
        <w:i/>
        <w:iCs/>
        <w:sz w:val="20"/>
        <w:szCs w:val="20"/>
      </w:rPr>
    </w:pPr>
    <w:r w:rsidRPr="006D1A41">
      <w:rPr>
        <w:i/>
        <w:iCs/>
        <w:sz w:val="20"/>
        <w:szCs w:val="20"/>
        <w:lang w:eastAsia="en-US"/>
      </w:rPr>
      <w:t xml:space="preserve">Działania </w:t>
    </w:r>
    <w:r w:rsidRPr="006D1A41">
      <w:rPr>
        <w:rFonts w:cs="Calibri"/>
        <w:i/>
        <w:iCs/>
        <w:sz w:val="20"/>
        <w:szCs w:val="20"/>
        <w:lang w:eastAsia="en-US"/>
      </w:rPr>
      <w:t xml:space="preserve">3.4  </w:t>
    </w:r>
    <w:r w:rsidRPr="006D1A41">
      <w:rPr>
        <w:rFonts w:ascii="Calibri" w:hAnsi="Calibri"/>
        <w:i/>
        <w:sz w:val="20"/>
        <w:szCs w:val="20"/>
      </w:rPr>
      <w:t>Efektywność energetyczna w MSP</w:t>
    </w:r>
  </w:p>
  <w:p w:rsidR="00537869" w:rsidRPr="006D1A41" w:rsidRDefault="00537869" w:rsidP="00537869">
    <w:pPr>
      <w:widowControl w:val="0"/>
      <w:spacing w:after="0" w:line="259" w:lineRule="auto"/>
      <w:jc w:val="right"/>
      <w:rPr>
        <w:i/>
        <w:iCs/>
        <w:sz w:val="20"/>
        <w:szCs w:val="20"/>
        <w:lang w:eastAsia="en-US"/>
      </w:rPr>
    </w:pPr>
    <w:r w:rsidRPr="006D1A41">
      <w:rPr>
        <w:i/>
        <w:iCs/>
        <w:sz w:val="20"/>
        <w:szCs w:val="20"/>
        <w:lang w:eastAsia="en-US"/>
      </w:rPr>
      <w:t xml:space="preserve"> w ramach RPO WO 2014-2020 Nabór I</w:t>
    </w:r>
  </w:p>
  <w:p w:rsidR="00537869" w:rsidRPr="006D1A41" w:rsidRDefault="00537869" w:rsidP="00537869">
    <w:pPr>
      <w:pStyle w:val="Nagwek"/>
      <w:rPr>
        <w:sz w:val="20"/>
        <w:szCs w:val="20"/>
      </w:rPr>
    </w:pPr>
    <w:r w:rsidRPr="006D1A41">
      <w:rPr>
        <w:rFonts w:ascii="Calibri" w:hAnsi="Calibri"/>
        <w:i/>
        <w:iCs/>
        <w:sz w:val="20"/>
        <w:szCs w:val="20"/>
        <w:lang w:eastAsia="en-US"/>
      </w:rPr>
      <w:tab/>
    </w:r>
    <w:r w:rsidRPr="006D1A41">
      <w:rPr>
        <w:rFonts w:ascii="Calibri" w:hAnsi="Calibri"/>
        <w:i/>
        <w:iCs/>
        <w:sz w:val="20"/>
        <w:szCs w:val="20"/>
        <w:lang w:eastAsia="en-US"/>
      </w:rPr>
      <w:tab/>
      <w:t xml:space="preserve">        </w:t>
    </w:r>
    <w:r>
      <w:rPr>
        <w:i/>
        <w:iCs/>
        <w:lang w:eastAsia="en-US"/>
      </w:rPr>
      <w:tab/>
    </w:r>
    <w:r>
      <w:rPr>
        <w:i/>
        <w:iCs/>
        <w:lang w:eastAsia="en-US"/>
      </w:rPr>
      <w:tab/>
    </w:r>
    <w:r>
      <w:rPr>
        <w:i/>
        <w:iCs/>
        <w:lang w:eastAsia="en-US"/>
      </w:rPr>
      <w:tab/>
    </w:r>
    <w:r>
      <w:rPr>
        <w:i/>
        <w:iCs/>
        <w:lang w:eastAsia="en-US"/>
      </w:rPr>
      <w:tab/>
    </w:r>
    <w:r w:rsidRPr="006D1A41">
      <w:rPr>
        <w:rFonts w:ascii="Calibri" w:hAnsi="Calibri"/>
        <w:i/>
        <w:iCs/>
        <w:sz w:val="20"/>
        <w:szCs w:val="20"/>
        <w:lang w:val="en-US" w:eastAsia="en-US"/>
      </w:rPr>
      <w:t>Wersja nr 1, maj 2019 r.</w:t>
    </w:r>
  </w:p>
  <w:p w:rsidR="00C417EC" w:rsidRPr="00EF1BF9" w:rsidRDefault="00C417EC" w:rsidP="00EF1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B8E"/>
    <w:rsid w:val="00015583"/>
    <w:rsid w:val="00015DEA"/>
    <w:rsid w:val="000168FD"/>
    <w:rsid w:val="00031554"/>
    <w:rsid w:val="000319A0"/>
    <w:rsid w:val="0003254D"/>
    <w:rsid w:val="00033A13"/>
    <w:rsid w:val="00033DB6"/>
    <w:rsid w:val="00035EA1"/>
    <w:rsid w:val="00041C35"/>
    <w:rsid w:val="000513EE"/>
    <w:rsid w:val="0005308B"/>
    <w:rsid w:val="00055EE7"/>
    <w:rsid w:val="00056BBD"/>
    <w:rsid w:val="00057CCC"/>
    <w:rsid w:val="00062C8B"/>
    <w:rsid w:val="00063C1C"/>
    <w:rsid w:val="00063E65"/>
    <w:rsid w:val="000653E0"/>
    <w:rsid w:val="00083072"/>
    <w:rsid w:val="00083B3C"/>
    <w:rsid w:val="00086315"/>
    <w:rsid w:val="000908A9"/>
    <w:rsid w:val="00092958"/>
    <w:rsid w:val="000A0476"/>
    <w:rsid w:val="000A34FA"/>
    <w:rsid w:val="000A4AD5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E1053"/>
    <w:rsid w:val="000E521A"/>
    <w:rsid w:val="000E5944"/>
    <w:rsid w:val="000E67E8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7178D"/>
    <w:rsid w:val="00173EA5"/>
    <w:rsid w:val="0018259B"/>
    <w:rsid w:val="00195DF3"/>
    <w:rsid w:val="00195E0A"/>
    <w:rsid w:val="001A2230"/>
    <w:rsid w:val="001A2C80"/>
    <w:rsid w:val="001A32D2"/>
    <w:rsid w:val="001A7097"/>
    <w:rsid w:val="001C0B0B"/>
    <w:rsid w:val="001D2995"/>
    <w:rsid w:val="001D2DFD"/>
    <w:rsid w:val="001D3621"/>
    <w:rsid w:val="001D577F"/>
    <w:rsid w:val="001D5EF7"/>
    <w:rsid w:val="001E3C79"/>
    <w:rsid w:val="001E4C2E"/>
    <w:rsid w:val="002000C8"/>
    <w:rsid w:val="00203C38"/>
    <w:rsid w:val="0020483D"/>
    <w:rsid w:val="00205CB0"/>
    <w:rsid w:val="00207688"/>
    <w:rsid w:val="00207D6F"/>
    <w:rsid w:val="00215234"/>
    <w:rsid w:val="002165FB"/>
    <w:rsid w:val="00216A64"/>
    <w:rsid w:val="002174D7"/>
    <w:rsid w:val="00223C52"/>
    <w:rsid w:val="00223F9A"/>
    <w:rsid w:val="0022603F"/>
    <w:rsid w:val="00227418"/>
    <w:rsid w:val="00231CD3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232B"/>
    <w:rsid w:val="00292A71"/>
    <w:rsid w:val="00293876"/>
    <w:rsid w:val="002A05B4"/>
    <w:rsid w:val="002A2D17"/>
    <w:rsid w:val="002A3708"/>
    <w:rsid w:val="002A4294"/>
    <w:rsid w:val="002A5161"/>
    <w:rsid w:val="002B6EAB"/>
    <w:rsid w:val="002C166D"/>
    <w:rsid w:val="002D1FFD"/>
    <w:rsid w:val="002E195D"/>
    <w:rsid w:val="002E41A2"/>
    <w:rsid w:val="002E46F4"/>
    <w:rsid w:val="002F24F9"/>
    <w:rsid w:val="002F3149"/>
    <w:rsid w:val="002F33BC"/>
    <w:rsid w:val="003073B4"/>
    <w:rsid w:val="00307EDB"/>
    <w:rsid w:val="003139D0"/>
    <w:rsid w:val="00320459"/>
    <w:rsid w:val="003206DB"/>
    <w:rsid w:val="003317C9"/>
    <w:rsid w:val="0033221C"/>
    <w:rsid w:val="00335B0D"/>
    <w:rsid w:val="003414F1"/>
    <w:rsid w:val="00342EC8"/>
    <w:rsid w:val="00350F73"/>
    <w:rsid w:val="0035163A"/>
    <w:rsid w:val="00355D2E"/>
    <w:rsid w:val="0036037A"/>
    <w:rsid w:val="00365665"/>
    <w:rsid w:val="00367BF2"/>
    <w:rsid w:val="00370E0C"/>
    <w:rsid w:val="00386AE6"/>
    <w:rsid w:val="00392470"/>
    <w:rsid w:val="00392E28"/>
    <w:rsid w:val="00394920"/>
    <w:rsid w:val="00396A00"/>
    <w:rsid w:val="003A0EBC"/>
    <w:rsid w:val="003A1F2D"/>
    <w:rsid w:val="003B3940"/>
    <w:rsid w:val="003B4F9A"/>
    <w:rsid w:val="003C02D6"/>
    <w:rsid w:val="003C3A82"/>
    <w:rsid w:val="003C6DBA"/>
    <w:rsid w:val="003D2FB7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566"/>
    <w:rsid w:val="004515CA"/>
    <w:rsid w:val="004578AB"/>
    <w:rsid w:val="00460BDF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48D9"/>
    <w:rsid w:val="004D6002"/>
    <w:rsid w:val="004E1993"/>
    <w:rsid w:val="004E311C"/>
    <w:rsid w:val="004E5215"/>
    <w:rsid w:val="004E5F90"/>
    <w:rsid w:val="004F4063"/>
    <w:rsid w:val="004F6E63"/>
    <w:rsid w:val="004F6F1C"/>
    <w:rsid w:val="004F7079"/>
    <w:rsid w:val="00502D55"/>
    <w:rsid w:val="005111F8"/>
    <w:rsid w:val="00512467"/>
    <w:rsid w:val="00514EDC"/>
    <w:rsid w:val="00517B7D"/>
    <w:rsid w:val="00520916"/>
    <w:rsid w:val="005213CE"/>
    <w:rsid w:val="00530513"/>
    <w:rsid w:val="00537869"/>
    <w:rsid w:val="00540C82"/>
    <w:rsid w:val="00541616"/>
    <w:rsid w:val="005425C2"/>
    <w:rsid w:val="005436B1"/>
    <w:rsid w:val="0054723E"/>
    <w:rsid w:val="00552E0D"/>
    <w:rsid w:val="00562F75"/>
    <w:rsid w:val="00566264"/>
    <w:rsid w:val="00566E22"/>
    <w:rsid w:val="0057438E"/>
    <w:rsid w:val="00575609"/>
    <w:rsid w:val="00576345"/>
    <w:rsid w:val="00582F36"/>
    <w:rsid w:val="005833B6"/>
    <w:rsid w:val="00584FD2"/>
    <w:rsid w:val="005870AE"/>
    <w:rsid w:val="00587391"/>
    <w:rsid w:val="005900E5"/>
    <w:rsid w:val="00594165"/>
    <w:rsid w:val="00596D0D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A79"/>
    <w:rsid w:val="00601E76"/>
    <w:rsid w:val="00612750"/>
    <w:rsid w:val="00617E85"/>
    <w:rsid w:val="00625468"/>
    <w:rsid w:val="00627DDB"/>
    <w:rsid w:val="0063106F"/>
    <w:rsid w:val="0063254B"/>
    <w:rsid w:val="00635E43"/>
    <w:rsid w:val="00640991"/>
    <w:rsid w:val="0064192E"/>
    <w:rsid w:val="00641F8D"/>
    <w:rsid w:val="00653776"/>
    <w:rsid w:val="0065404E"/>
    <w:rsid w:val="00657EC9"/>
    <w:rsid w:val="006621DF"/>
    <w:rsid w:val="00662786"/>
    <w:rsid w:val="00662B00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95DD3"/>
    <w:rsid w:val="006A1730"/>
    <w:rsid w:val="006A3A60"/>
    <w:rsid w:val="006A44E5"/>
    <w:rsid w:val="006A7698"/>
    <w:rsid w:val="006A7E5A"/>
    <w:rsid w:val="006B0AD6"/>
    <w:rsid w:val="006B13AA"/>
    <w:rsid w:val="006B6D0A"/>
    <w:rsid w:val="006B6E11"/>
    <w:rsid w:val="006B6E44"/>
    <w:rsid w:val="006C1039"/>
    <w:rsid w:val="006C178D"/>
    <w:rsid w:val="006C452F"/>
    <w:rsid w:val="006D162A"/>
    <w:rsid w:val="006D307B"/>
    <w:rsid w:val="006D6C70"/>
    <w:rsid w:val="006F57DD"/>
    <w:rsid w:val="00700637"/>
    <w:rsid w:val="00702EF1"/>
    <w:rsid w:val="007055BC"/>
    <w:rsid w:val="00706A63"/>
    <w:rsid w:val="007109A7"/>
    <w:rsid w:val="00711603"/>
    <w:rsid w:val="007132A9"/>
    <w:rsid w:val="00713693"/>
    <w:rsid w:val="0072197A"/>
    <w:rsid w:val="00722E29"/>
    <w:rsid w:val="00723497"/>
    <w:rsid w:val="00725343"/>
    <w:rsid w:val="007315C9"/>
    <w:rsid w:val="00733355"/>
    <w:rsid w:val="0073417E"/>
    <w:rsid w:val="00735B8E"/>
    <w:rsid w:val="0074087F"/>
    <w:rsid w:val="007411F6"/>
    <w:rsid w:val="00742DC9"/>
    <w:rsid w:val="00743327"/>
    <w:rsid w:val="007435C8"/>
    <w:rsid w:val="0075259A"/>
    <w:rsid w:val="00753583"/>
    <w:rsid w:val="00761C40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C0A"/>
    <w:rsid w:val="007D4131"/>
    <w:rsid w:val="007D4C96"/>
    <w:rsid w:val="007D57BB"/>
    <w:rsid w:val="007D6614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AE3"/>
    <w:rsid w:val="008245BD"/>
    <w:rsid w:val="00831BFC"/>
    <w:rsid w:val="00842F3A"/>
    <w:rsid w:val="008455F7"/>
    <w:rsid w:val="00846033"/>
    <w:rsid w:val="008465CF"/>
    <w:rsid w:val="008478D9"/>
    <w:rsid w:val="00856DFC"/>
    <w:rsid w:val="00857429"/>
    <w:rsid w:val="0086008B"/>
    <w:rsid w:val="008601B4"/>
    <w:rsid w:val="00860C57"/>
    <w:rsid w:val="00876AB5"/>
    <w:rsid w:val="00881365"/>
    <w:rsid w:val="00881689"/>
    <w:rsid w:val="00883C42"/>
    <w:rsid w:val="00886741"/>
    <w:rsid w:val="00892C10"/>
    <w:rsid w:val="00892C4D"/>
    <w:rsid w:val="008950B0"/>
    <w:rsid w:val="008971CC"/>
    <w:rsid w:val="008A025F"/>
    <w:rsid w:val="008A243D"/>
    <w:rsid w:val="008A2D2C"/>
    <w:rsid w:val="008B24BB"/>
    <w:rsid w:val="008B46A5"/>
    <w:rsid w:val="008B5374"/>
    <w:rsid w:val="008B712F"/>
    <w:rsid w:val="008B7F87"/>
    <w:rsid w:val="008C3081"/>
    <w:rsid w:val="008D3539"/>
    <w:rsid w:val="008D6830"/>
    <w:rsid w:val="008D7B42"/>
    <w:rsid w:val="008E2352"/>
    <w:rsid w:val="008F5666"/>
    <w:rsid w:val="0091369F"/>
    <w:rsid w:val="00914AB9"/>
    <w:rsid w:val="009225BC"/>
    <w:rsid w:val="00926866"/>
    <w:rsid w:val="009344F5"/>
    <w:rsid w:val="00935463"/>
    <w:rsid w:val="00936AE6"/>
    <w:rsid w:val="00943756"/>
    <w:rsid w:val="009513F8"/>
    <w:rsid w:val="00951710"/>
    <w:rsid w:val="009536C3"/>
    <w:rsid w:val="00955A24"/>
    <w:rsid w:val="009566FF"/>
    <w:rsid w:val="00956722"/>
    <w:rsid w:val="00956B26"/>
    <w:rsid w:val="0097558C"/>
    <w:rsid w:val="009757CF"/>
    <w:rsid w:val="0097603E"/>
    <w:rsid w:val="00977EB6"/>
    <w:rsid w:val="00980388"/>
    <w:rsid w:val="009820C9"/>
    <w:rsid w:val="00983E81"/>
    <w:rsid w:val="00985C49"/>
    <w:rsid w:val="00987B6C"/>
    <w:rsid w:val="009902EE"/>
    <w:rsid w:val="00992F7F"/>
    <w:rsid w:val="00994397"/>
    <w:rsid w:val="00994ABE"/>
    <w:rsid w:val="009A000A"/>
    <w:rsid w:val="009A10EC"/>
    <w:rsid w:val="009A4E00"/>
    <w:rsid w:val="009A4E3E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21B3F"/>
    <w:rsid w:val="00A21E6D"/>
    <w:rsid w:val="00A22820"/>
    <w:rsid w:val="00A2382C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539C"/>
    <w:rsid w:val="00A55607"/>
    <w:rsid w:val="00A566FE"/>
    <w:rsid w:val="00A610C3"/>
    <w:rsid w:val="00A64DF5"/>
    <w:rsid w:val="00A67B81"/>
    <w:rsid w:val="00A717A6"/>
    <w:rsid w:val="00A71CF0"/>
    <w:rsid w:val="00A729B2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7D5D"/>
    <w:rsid w:val="00AD561C"/>
    <w:rsid w:val="00AD7BF3"/>
    <w:rsid w:val="00AE20BA"/>
    <w:rsid w:val="00AE29BF"/>
    <w:rsid w:val="00AE492F"/>
    <w:rsid w:val="00AE6A13"/>
    <w:rsid w:val="00AF6E20"/>
    <w:rsid w:val="00AF7918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816C0"/>
    <w:rsid w:val="00B86856"/>
    <w:rsid w:val="00B901DE"/>
    <w:rsid w:val="00B9288D"/>
    <w:rsid w:val="00B95CC5"/>
    <w:rsid w:val="00BA3F96"/>
    <w:rsid w:val="00BB359B"/>
    <w:rsid w:val="00BB3B5A"/>
    <w:rsid w:val="00BC14B8"/>
    <w:rsid w:val="00BC52C6"/>
    <w:rsid w:val="00BC6511"/>
    <w:rsid w:val="00BC7EE3"/>
    <w:rsid w:val="00BD1809"/>
    <w:rsid w:val="00BD3741"/>
    <w:rsid w:val="00BD623F"/>
    <w:rsid w:val="00BE002C"/>
    <w:rsid w:val="00BE1108"/>
    <w:rsid w:val="00BE34E0"/>
    <w:rsid w:val="00BE78D2"/>
    <w:rsid w:val="00BF3654"/>
    <w:rsid w:val="00BF5BE4"/>
    <w:rsid w:val="00C013F9"/>
    <w:rsid w:val="00C04951"/>
    <w:rsid w:val="00C13E93"/>
    <w:rsid w:val="00C169AD"/>
    <w:rsid w:val="00C23DD6"/>
    <w:rsid w:val="00C3041C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71130"/>
    <w:rsid w:val="00C71AEF"/>
    <w:rsid w:val="00C77EF3"/>
    <w:rsid w:val="00C83731"/>
    <w:rsid w:val="00C8445E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4D6"/>
    <w:rsid w:val="00CD4756"/>
    <w:rsid w:val="00CD784C"/>
    <w:rsid w:val="00CE045F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10227"/>
    <w:rsid w:val="00D15791"/>
    <w:rsid w:val="00D21207"/>
    <w:rsid w:val="00D26BE8"/>
    <w:rsid w:val="00D27432"/>
    <w:rsid w:val="00D307DB"/>
    <w:rsid w:val="00D30972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A8"/>
    <w:rsid w:val="00DA1CBC"/>
    <w:rsid w:val="00DA64DA"/>
    <w:rsid w:val="00DB5AA4"/>
    <w:rsid w:val="00DB5E30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52F7"/>
    <w:rsid w:val="00E1605C"/>
    <w:rsid w:val="00E21CC8"/>
    <w:rsid w:val="00E2310F"/>
    <w:rsid w:val="00E24B44"/>
    <w:rsid w:val="00E267B7"/>
    <w:rsid w:val="00E26B68"/>
    <w:rsid w:val="00E27129"/>
    <w:rsid w:val="00E30318"/>
    <w:rsid w:val="00E31654"/>
    <w:rsid w:val="00E34FD6"/>
    <w:rsid w:val="00E41444"/>
    <w:rsid w:val="00E420A4"/>
    <w:rsid w:val="00E43283"/>
    <w:rsid w:val="00E43E7A"/>
    <w:rsid w:val="00E44FF8"/>
    <w:rsid w:val="00E47908"/>
    <w:rsid w:val="00E503EA"/>
    <w:rsid w:val="00E50DE7"/>
    <w:rsid w:val="00E51454"/>
    <w:rsid w:val="00E63D0A"/>
    <w:rsid w:val="00E80B69"/>
    <w:rsid w:val="00E858A9"/>
    <w:rsid w:val="00E907E9"/>
    <w:rsid w:val="00E91CF9"/>
    <w:rsid w:val="00E937B1"/>
    <w:rsid w:val="00E97FDF"/>
    <w:rsid w:val="00EC77B0"/>
    <w:rsid w:val="00ED1091"/>
    <w:rsid w:val="00ED303E"/>
    <w:rsid w:val="00EF1BF9"/>
    <w:rsid w:val="00EF2909"/>
    <w:rsid w:val="00EF3F8F"/>
    <w:rsid w:val="00EF46B8"/>
    <w:rsid w:val="00F00ADF"/>
    <w:rsid w:val="00F122C5"/>
    <w:rsid w:val="00F149AD"/>
    <w:rsid w:val="00F174E4"/>
    <w:rsid w:val="00F228E0"/>
    <w:rsid w:val="00F26B43"/>
    <w:rsid w:val="00F304F8"/>
    <w:rsid w:val="00F308AB"/>
    <w:rsid w:val="00F340A2"/>
    <w:rsid w:val="00F353FE"/>
    <w:rsid w:val="00F4348E"/>
    <w:rsid w:val="00F45E49"/>
    <w:rsid w:val="00F5104E"/>
    <w:rsid w:val="00F51C2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758"/>
    <w:rsid w:val="00F90331"/>
    <w:rsid w:val="00FA1A10"/>
    <w:rsid w:val="00FB3A48"/>
    <w:rsid w:val="00FB43CA"/>
    <w:rsid w:val="00FD3825"/>
    <w:rsid w:val="00FD4489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27C2C8-B0B5-48C5-B230-E30E32FA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basedOn w:val="Normalny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03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F368-8DB1-4F2D-8BC3-D6DBEEA4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4532</Words>
  <Characters>27198</Characters>
  <Application>Microsoft Office Word</Application>
  <DocSecurity>4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Agata Łanica</cp:lastModifiedBy>
  <cp:revision>2</cp:revision>
  <cp:lastPrinted>2016-07-07T11:54:00Z</cp:lastPrinted>
  <dcterms:created xsi:type="dcterms:W3CDTF">2019-05-15T08:43:00Z</dcterms:created>
  <dcterms:modified xsi:type="dcterms:W3CDTF">2019-05-15T08:43:00Z</dcterms:modified>
</cp:coreProperties>
</file>